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64DC21" w14:textId="77777777" w:rsidR="00752E64" w:rsidRDefault="00752E64">
      <w:pPr>
        <w:rPr>
          <w:rFonts w:ascii="Tahoma" w:hAnsi="Tahoma" w:cs="Tahoma"/>
          <w:color w:val="333F48"/>
          <w:sz w:val="36"/>
          <w:szCs w:val="40"/>
        </w:rPr>
      </w:pPr>
    </w:p>
    <w:p w14:paraId="3C5992D0" w14:textId="4A796D59" w:rsidR="00321EF3" w:rsidRDefault="00321EF3">
      <w:pPr>
        <w:rPr>
          <w:rFonts w:ascii="Tahoma" w:hAnsi="Tahoma" w:cs="Tahoma"/>
          <w:color w:val="333F48"/>
          <w:sz w:val="36"/>
          <w:szCs w:val="40"/>
        </w:rPr>
      </w:pPr>
      <w:r w:rsidRPr="00C11389">
        <w:rPr>
          <w:rFonts w:ascii="Tahoma" w:hAnsi="Tahoma" w:cs="Tahoma"/>
          <w:color w:val="333F48"/>
          <w:sz w:val="36"/>
          <w:szCs w:val="40"/>
        </w:rPr>
        <w:t>COVID-19</w:t>
      </w:r>
      <w:r>
        <w:rPr>
          <w:rFonts w:ascii="Tahoma" w:hAnsi="Tahoma" w:cs="Tahoma"/>
          <w:color w:val="333F48"/>
          <w:sz w:val="36"/>
          <w:szCs w:val="40"/>
        </w:rPr>
        <w:t>:</w:t>
      </w:r>
      <w:r w:rsidRPr="00C11389">
        <w:rPr>
          <w:rFonts w:ascii="Tahoma" w:hAnsi="Tahoma" w:cs="Tahoma"/>
          <w:color w:val="333F48"/>
          <w:sz w:val="36"/>
          <w:szCs w:val="40"/>
        </w:rPr>
        <w:t xml:space="preserve"> </w:t>
      </w:r>
      <w:r w:rsidR="0094720F">
        <w:rPr>
          <w:rFonts w:ascii="Tahoma" w:hAnsi="Tahoma" w:cs="Tahoma"/>
          <w:color w:val="333F48"/>
          <w:sz w:val="36"/>
          <w:szCs w:val="40"/>
        </w:rPr>
        <w:t>planning for recovery</w:t>
      </w:r>
    </w:p>
    <w:p w14:paraId="5D4E1D8E" w14:textId="30EAFA42" w:rsidR="00B60687" w:rsidRPr="00321EF3" w:rsidRDefault="00FE0A8D" w:rsidP="006323E0">
      <w:pPr>
        <w:spacing w:after="80" w:line="240" w:lineRule="auto"/>
        <w:rPr>
          <w:rFonts w:ascii="Tahoma" w:hAnsi="Tahoma" w:cs="Tahoma"/>
          <w:color w:val="718DA7" w:themeColor="accent3"/>
          <w:sz w:val="28"/>
          <w:szCs w:val="32"/>
        </w:rPr>
      </w:pPr>
      <w:r w:rsidRPr="00321EF3">
        <w:rPr>
          <w:rFonts w:ascii="Tahoma" w:hAnsi="Tahoma" w:cs="Tahoma"/>
          <w:color w:val="718DA7" w:themeColor="accent3"/>
          <w:sz w:val="28"/>
          <w:szCs w:val="32"/>
        </w:rPr>
        <w:t xml:space="preserve">Information </w:t>
      </w:r>
      <w:r w:rsidR="00321EF3" w:rsidRPr="00321EF3">
        <w:rPr>
          <w:rFonts w:ascii="Tahoma" w:hAnsi="Tahoma" w:cs="Tahoma"/>
          <w:color w:val="718DA7" w:themeColor="accent3"/>
          <w:sz w:val="28"/>
          <w:szCs w:val="32"/>
        </w:rPr>
        <w:t xml:space="preserve">checklist to </w:t>
      </w:r>
      <w:r w:rsidR="0094720F" w:rsidRPr="0094720F">
        <w:rPr>
          <w:rFonts w:ascii="Tahoma" w:hAnsi="Tahoma" w:cs="Tahoma"/>
          <w:color w:val="718DA7" w:themeColor="accent3"/>
          <w:sz w:val="28"/>
          <w:szCs w:val="32"/>
        </w:rPr>
        <w:t>support recovery planning post lockdown</w:t>
      </w:r>
    </w:p>
    <w:p w14:paraId="18D0A7BB" w14:textId="77777777" w:rsidR="00571CD6" w:rsidRPr="00C11389" w:rsidRDefault="00571CD6" w:rsidP="00571CD6">
      <w:pPr>
        <w:pStyle w:val="NoSpacing"/>
      </w:pPr>
    </w:p>
    <w:tbl>
      <w:tblPr>
        <w:tblW w:w="10220" w:type="dxa"/>
        <w:tblLayout w:type="fixed"/>
        <w:tblLook w:val="04A0" w:firstRow="1" w:lastRow="0" w:firstColumn="1" w:lastColumn="0" w:noHBand="0" w:noVBand="1"/>
      </w:tblPr>
      <w:tblGrid>
        <w:gridCol w:w="566"/>
        <w:gridCol w:w="6517"/>
        <w:gridCol w:w="3137"/>
      </w:tblGrid>
      <w:tr w:rsidR="00DD02FC" w:rsidRPr="00FE0A8D" w14:paraId="68665F5B" w14:textId="77777777" w:rsidTr="00DD02FC">
        <w:trPr>
          <w:trHeight w:val="255"/>
        </w:trPr>
        <w:tc>
          <w:tcPr>
            <w:tcW w:w="566" w:type="dxa"/>
            <w:tcBorders>
              <w:top w:val="single" w:sz="4" w:space="0" w:color="333F48"/>
              <w:left w:val="single" w:sz="4" w:space="0" w:color="333F48"/>
              <w:bottom w:val="single" w:sz="4" w:space="0" w:color="676978" w:themeColor="accent2"/>
              <w:right w:val="nil"/>
            </w:tcBorders>
            <w:shd w:val="clear" w:color="auto" w:fill="686B79"/>
            <w:noWrap/>
            <w:vAlign w:val="center"/>
            <w:hideMark/>
          </w:tcPr>
          <w:p w14:paraId="17BF6DEE" w14:textId="77777777" w:rsidR="00DD02FC" w:rsidRPr="00FE0A8D" w:rsidRDefault="00DD02FC" w:rsidP="00DD02FC">
            <w:pPr>
              <w:spacing w:before="80" w:after="8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</w:pPr>
            <w:r w:rsidRPr="00FE0A8D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6517" w:type="dxa"/>
            <w:tcBorders>
              <w:top w:val="single" w:sz="4" w:space="0" w:color="333F48"/>
              <w:left w:val="nil"/>
              <w:bottom w:val="single" w:sz="4" w:space="0" w:color="676978" w:themeColor="accent2"/>
              <w:right w:val="nil"/>
            </w:tcBorders>
            <w:shd w:val="clear" w:color="auto" w:fill="686B79"/>
            <w:noWrap/>
            <w:vAlign w:val="center"/>
            <w:hideMark/>
          </w:tcPr>
          <w:p w14:paraId="25E8F165" w14:textId="77777777" w:rsidR="00DD02FC" w:rsidRPr="00C11389" w:rsidRDefault="00DD02FC" w:rsidP="00DD02FC">
            <w:pPr>
              <w:spacing w:before="80" w:after="80" w:line="240" w:lineRule="auto"/>
              <w:rPr>
                <w:rFonts w:ascii="Tahoma" w:eastAsia="Times New Roman" w:hAnsi="Tahoma" w:cs="Tahoma"/>
                <w:color w:val="FFFFFF"/>
                <w:sz w:val="28"/>
                <w:szCs w:val="28"/>
                <w:lang w:eastAsia="en-GB"/>
              </w:rPr>
            </w:pPr>
            <w:r w:rsidRPr="00C11389">
              <w:rPr>
                <w:rFonts w:ascii="Tahoma" w:eastAsia="Times New Roman" w:hAnsi="Tahoma" w:cs="Tahoma"/>
                <w:color w:val="FFFFFF"/>
                <w:sz w:val="28"/>
                <w:szCs w:val="28"/>
                <w:lang w:eastAsia="en-GB"/>
              </w:rPr>
              <w:t>Information</w:t>
            </w:r>
          </w:p>
        </w:tc>
        <w:tc>
          <w:tcPr>
            <w:tcW w:w="3137" w:type="dxa"/>
            <w:tcBorders>
              <w:top w:val="single" w:sz="4" w:space="0" w:color="333F48"/>
              <w:left w:val="nil"/>
              <w:bottom w:val="single" w:sz="4" w:space="0" w:color="676978" w:themeColor="accent2"/>
              <w:right w:val="single" w:sz="4" w:space="0" w:color="333F48"/>
            </w:tcBorders>
            <w:shd w:val="clear" w:color="auto" w:fill="686B79"/>
            <w:noWrap/>
            <w:vAlign w:val="center"/>
            <w:hideMark/>
          </w:tcPr>
          <w:p w14:paraId="24C30367" w14:textId="77777777" w:rsidR="00DD02FC" w:rsidRPr="00C11389" w:rsidRDefault="00DD02FC" w:rsidP="00DD02FC">
            <w:pPr>
              <w:spacing w:before="80" w:after="80" w:line="240" w:lineRule="auto"/>
              <w:rPr>
                <w:rFonts w:ascii="Tahoma" w:eastAsia="Times New Roman" w:hAnsi="Tahoma" w:cs="Tahoma"/>
                <w:color w:val="FFFFFF"/>
                <w:sz w:val="28"/>
                <w:szCs w:val="28"/>
                <w:lang w:eastAsia="en-GB"/>
              </w:rPr>
            </w:pPr>
            <w:r w:rsidRPr="00C11389">
              <w:rPr>
                <w:rFonts w:ascii="Tahoma" w:eastAsia="Times New Roman" w:hAnsi="Tahoma" w:cs="Tahoma"/>
                <w:color w:val="FFFFFF"/>
                <w:sz w:val="28"/>
                <w:szCs w:val="28"/>
                <w:lang w:eastAsia="en-GB"/>
              </w:rPr>
              <w:t>Comment</w:t>
            </w:r>
          </w:p>
        </w:tc>
      </w:tr>
      <w:tr w:rsidR="00DD02FC" w:rsidRPr="00FE0A8D" w14:paraId="7CE4673A" w14:textId="77777777" w:rsidTr="00DD02FC">
        <w:trPr>
          <w:trHeight w:val="454"/>
        </w:trPr>
        <w:tc>
          <w:tcPr>
            <w:tcW w:w="566" w:type="dxa"/>
            <w:tcBorders>
              <w:top w:val="single" w:sz="4" w:space="0" w:color="676978" w:themeColor="accent2"/>
              <w:left w:val="single" w:sz="4" w:space="0" w:color="676978" w:themeColor="accent2"/>
              <w:bottom w:val="single" w:sz="4" w:space="0" w:color="676978" w:themeColor="accent2"/>
              <w:right w:val="nil"/>
            </w:tcBorders>
            <w:shd w:val="clear" w:color="auto" w:fill="C6D1DB" w:themeFill="accent3" w:themeFillTint="66"/>
            <w:noWrap/>
            <w:vAlign w:val="center"/>
            <w:hideMark/>
          </w:tcPr>
          <w:p w14:paraId="3A651733" w14:textId="77777777" w:rsidR="00DD02FC" w:rsidRPr="00C11389" w:rsidRDefault="00DD02FC" w:rsidP="00DD02FC">
            <w:pPr>
              <w:spacing w:before="80" w:after="80" w:line="240" w:lineRule="auto"/>
              <w:rPr>
                <w:rFonts w:ascii="Tahoma" w:eastAsia="Times New Roman" w:hAnsi="Tahoma" w:cs="Tahoma"/>
                <w:b/>
                <w:bCs/>
                <w:color w:val="333F48"/>
                <w:sz w:val="18"/>
                <w:szCs w:val="18"/>
                <w:lang w:eastAsia="en-GB"/>
              </w:rPr>
            </w:pPr>
            <w:r w:rsidRPr="00C11389">
              <w:rPr>
                <w:rFonts w:ascii="Tahoma" w:eastAsia="Times New Roman" w:hAnsi="Tahoma" w:cs="Tahoma"/>
                <w:b/>
                <w:bCs/>
                <w:color w:val="333F48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6517" w:type="dxa"/>
            <w:tcBorders>
              <w:top w:val="single" w:sz="4" w:space="0" w:color="676978" w:themeColor="accent2"/>
              <w:left w:val="nil"/>
              <w:bottom w:val="single" w:sz="4" w:space="0" w:color="676978" w:themeColor="accent2"/>
              <w:right w:val="nil"/>
            </w:tcBorders>
            <w:shd w:val="clear" w:color="auto" w:fill="C6D1DB" w:themeFill="accent3" w:themeFillTint="66"/>
            <w:noWrap/>
            <w:vAlign w:val="center"/>
            <w:hideMark/>
          </w:tcPr>
          <w:p w14:paraId="5337E401" w14:textId="7020C3A4" w:rsidR="00DD02FC" w:rsidRPr="00C11389" w:rsidRDefault="0094720F" w:rsidP="00DD02FC">
            <w:pPr>
              <w:spacing w:before="80" w:after="80" w:line="240" w:lineRule="auto"/>
              <w:rPr>
                <w:rFonts w:ascii="Tahoma" w:eastAsia="Times New Roman" w:hAnsi="Tahoma" w:cs="Tahoma"/>
                <w:b/>
                <w:bCs/>
                <w:color w:val="333F48"/>
                <w:sz w:val="20"/>
                <w:szCs w:val="20"/>
                <w:lang w:eastAsia="en-GB"/>
              </w:rPr>
            </w:pPr>
            <w:r w:rsidRPr="0094720F">
              <w:rPr>
                <w:rFonts w:ascii="Tahoma" w:eastAsia="Times New Roman" w:hAnsi="Tahoma" w:cs="Tahoma"/>
                <w:b/>
                <w:bCs/>
                <w:color w:val="333F48"/>
                <w:sz w:val="20"/>
                <w:szCs w:val="20"/>
                <w:lang w:eastAsia="en-GB"/>
              </w:rPr>
              <w:t>Scenario planning</w:t>
            </w:r>
          </w:p>
        </w:tc>
        <w:tc>
          <w:tcPr>
            <w:tcW w:w="3137" w:type="dxa"/>
            <w:tcBorders>
              <w:top w:val="single" w:sz="4" w:space="0" w:color="676978" w:themeColor="accent2"/>
              <w:left w:val="nil"/>
              <w:bottom w:val="single" w:sz="4" w:space="0" w:color="676978" w:themeColor="accent2"/>
              <w:right w:val="single" w:sz="4" w:space="0" w:color="676978" w:themeColor="accent2"/>
            </w:tcBorders>
            <w:shd w:val="clear" w:color="auto" w:fill="C6D1DB" w:themeFill="accent3" w:themeFillTint="66"/>
            <w:noWrap/>
            <w:vAlign w:val="center"/>
            <w:hideMark/>
          </w:tcPr>
          <w:p w14:paraId="16595A28" w14:textId="77777777" w:rsidR="00DD02FC" w:rsidRPr="00FE0A8D" w:rsidRDefault="00DD02FC" w:rsidP="00DD02FC">
            <w:pPr>
              <w:spacing w:before="80" w:after="80" w:line="240" w:lineRule="auto"/>
              <w:rPr>
                <w:rFonts w:ascii="Tahoma" w:eastAsia="Times New Roman" w:hAnsi="Tahoma" w:cs="Tahoma"/>
                <w:b/>
                <w:bCs/>
                <w:color w:val="333F48"/>
                <w:sz w:val="18"/>
                <w:szCs w:val="18"/>
                <w:lang w:eastAsia="en-GB"/>
              </w:rPr>
            </w:pPr>
            <w:r w:rsidRPr="00FE0A8D">
              <w:rPr>
                <w:rFonts w:ascii="Tahoma" w:eastAsia="Times New Roman" w:hAnsi="Tahoma" w:cs="Tahoma"/>
                <w:b/>
                <w:bCs/>
                <w:color w:val="333F48"/>
                <w:sz w:val="18"/>
                <w:szCs w:val="18"/>
                <w:lang w:eastAsia="en-GB"/>
              </w:rPr>
              <w:t> </w:t>
            </w:r>
          </w:p>
        </w:tc>
      </w:tr>
      <w:tr w:rsidR="0094720F" w:rsidRPr="00FE0A8D" w14:paraId="36A34DB9" w14:textId="77777777" w:rsidTr="00A134C3">
        <w:trPr>
          <w:trHeight w:val="255"/>
        </w:trPr>
        <w:tc>
          <w:tcPr>
            <w:tcW w:w="10220" w:type="dxa"/>
            <w:gridSpan w:val="3"/>
            <w:tcBorders>
              <w:top w:val="single" w:sz="4" w:space="0" w:color="676978" w:themeColor="accent2"/>
              <w:left w:val="single" w:sz="4" w:space="0" w:color="676978" w:themeColor="accent2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noWrap/>
          </w:tcPr>
          <w:p w14:paraId="4B7C9B7B" w14:textId="7ACFBB85" w:rsidR="00E662EE" w:rsidRDefault="0094720F" w:rsidP="00E662EE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bookmarkStart w:id="0" w:name="_Hlk37923429"/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The disruption caused by </w:t>
            </w:r>
            <w:r w:rsidR="009538C4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the COVID-19 </w:t>
            </w: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should be temporary</w:t>
            </w:r>
            <w:r w:rsid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and to prepare for recovery post lockdown, business can undertake scenario planning.</w:t>
            </w:r>
            <w:r w:rsidR="009538C4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</w:t>
            </w:r>
            <w:r w:rsidR="003D202C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A</w:t>
            </w:r>
            <w:r w:rsidR="00E662EE" w:rsidRP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12-month</w:t>
            </w:r>
            <w:r w:rsid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</w:t>
            </w:r>
            <w:r w:rsidR="006B6455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trading, balance sheet and cashflow </w:t>
            </w:r>
            <w:r w:rsidR="00E662EE" w:rsidRP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forecast, together with different scenarios</w:t>
            </w:r>
            <w:r w:rsidR="003D202C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,</w:t>
            </w:r>
            <w:r w:rsid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can provid</w:t>
            </w:r>
            <w:r w:rsidR="003D202C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e</w:t>
            </w:r>
            <w:r w:rsid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insight on </w:t>
            </w:r>
            <w:r w:rsidR="00E662EE" w:rsidRP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the </w:t>
            </w:r>
            <w:r w:rsid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potential </w:t>
            </w:r>
            <w:r w:rsidR="00E662EE" w:rsidRP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impact on trading results and cashflow</w:t>
            </w:r>
            <w:r w:rsid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</w:t>
            </w:r>
            <w:r w:rsidR="00E662EE" w:rsidRP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to </w:t>
            </w:r>
            <w:r w:rsid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allow </w:t>
            </w:r>
            <w:r w:rsidR="003D202C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for</w:t>
            </w:r>
            <w:r w:rsid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</w:t>
            </w:r>
            <w:r w:rsidR="00E662EE" w:rsidRP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stress test</w:t>
            </w:r>
            <w:r w:rsidR="003D202C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ing</w:t>
            </w:r>
            <w:r w:rsidR="00E662EE" w:rsidRP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</w:t>
            </w:r>
            <w:r w:rsid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business </w:t>
            </w:r>
            <w:r w:rsidR="00E662EE" w:rsidRP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plans and identif</w:t>
            </w:r>
            <w:r w:rsidR="003D202C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ication of </w:t>
            </w:r>
            <w:r w:rsidR="00E662EE" w:rsidRP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contingency plans. </w:t>
            </w:r>
          </w:p>
          <w:p w14:paraId="784CD564" w14:textId="7658A489" w:rsidR="0094720F" w:rsidRPr="00FE0A8D" w:rsidRDefault="00E662EE" w:rsidP="00E662EE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To create a scenario plan</w:t>
            </w:r>
            <w:r w:rsidR="003D202C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, </w:t>
            </w:r>
            <w:r w:rsidR="0094720F"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consider</w:t>
            </w:r>
            <w:r w:rsidR="003D202C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these variables</w:t>
            </w:r>
            <w:r w:rsidR="0094720F"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:</w:t>
            </w:r>
          </w:p>
        </w:tc>
      </w:tr>
      <w:tr w:rsidR="006323E0" w:rsidRPr="00FE0A8D" w14:paraId="3829FD5A" w14:textId="77777777" w:rsidTr="006323E0">
        <w:trPr>
          <w:trHeight w:val="255"/>
        </w:trPr>
        <w:tc>
          <w:tcPr>
            <w:tcW w:w="566" w:type="dxa"/>
            <w:tcBorders>
              <w:top w:val="dashed" w:sz="4" w:space="0" w:color="A09373"/>
              <w:left w:val="single" w:sz="4" w:space="0" w:color="676978" w:themeColor="accent2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noWrap/>
            <w:hideMark/>
          </w:tcPr>
          <w:p w14:paraId="54D0692A" w14:textId="77777777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FE0A8D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1.1</w:t>
            </w:r>
          </w:p>
        </w:tc>
        <w:tc>
          <w:tcPr>
            <w:tcW w:w="6517" w:type="dxa"/>
            <w:tcBorders>
              <w:top w:val="dashed" w:sz="4" w:space="0" w:color="A09373"/>
              <w:left w:val="dashed" w:sz="4" w:space="0" w:color="A09373" w:themeColor="accent4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vAlign w:val="center"/>
            <w:hideMark/>
          </w:tcPr>
          <w:p w14:paraId="7BD5712A" w14:textId="05FFF61B" w:rsidR="006323E0" w:rsidRPr="0094720F" w:rsidRDefault="006323E0" w:rsidP="006323E0">
            <w:pPr>
              <w:spacing w:before="80" w:after="80" w:line="240" w:lineRule="auto"/>
              <w:ind w:left="24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How long lockdown </w:t>
            </w:r>
            <w:r w:rsidR="009538C4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will</w:t>
            </w: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last and over what period </w:t>
            </w:r>
            <w:r w:rsidR="009538C4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will</w:t>
            </w: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the restrictions </w:t>
            </w:r>
            <w:r w:rsidR="009538C4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begin to </w:t>
            </w: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be lifted?</w:t>
            </w:r>
          </w:p>
          <w:p w14:paraId="134BC289" w14:textId="77777777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</w:p>
        </w:tc>
        <w:tc>
          <w:tcPr>
            <w:tcW w:w="3137" w:type="dxa"/>
            <w:tcBorders>
              <w:top w:val="dashed" w:sz="4" w:space="0" w:color="A09373"/>
              <w:left w:val="dashed" w:sz="4" w:space="0" w:color="A09373" w:themeColor="accent4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vAlign w:val="center"/>
            <w:hideMark/>
          </w:tcPr>
          <w:p w14:paraId="5C72B8D7" w14:textId="77777777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FE0A8D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 </w:t>
            </w:r>
          </w:p>
        </w:tc>
      </w:tr>
      <w:tr w:rsidR="006323E0" w:rsidRPr="00FE0A8D" w14:paraId="57E8F2D0" w14:textId="77777777" w:rsidTr="006323E0">
        <w:trPr>
          <w:trHeight w:val="450"/>
        </w:trPr>
        <w:tc>
          <w:tcPr>
            <w:tcW w:w="566" w:type="dxa"/>
            <w:tcBorders>
              <w:top w:val="dashed" w:sz="4" w:space="0" w:color="A09373" w:themeColor="accent4"/>
              <w:left w:val="single" w:sz="4" w:space="0" w:color="676978" w:themeColor="accent2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noWrap/>
            <w:hideMark/>
          </w:tcPr>
          <w:p w14:paraId="3DE93917" w14:textId="77777777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FE0A8D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1.2</w:t>
            </w:r>
          </w:p>
        </w:tc>
        <w:tc>
          <w:tcPr>
            <w:tcW w:w="651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vAlign w:val="center"/>
            <w:hideMark/>
          </w:tcPr>
          <w:p w14:paraId="4663522B" w14:textId="0B5A8CB0" w:rsidR="006323E0" w:rsidRPr="0094720F" w:rsidRDefault="006323E0" w:rsidP="006323E0">
            <w:pPr>
              <w:spacing w:before="80" w:after="80" w:line="240" w:lineRule="auto"/>
              <w:ind w:left="24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What operational restrictions may remain in place as a result of COVID-19, including staffing levels as a result of self-isolating</w:t>
            </w:r>
            <w:r w:rsidR="009538C4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or </w:t>
            </w: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sickness?</w:t>
            </w:r>
          </w:p>
          <w:p w14:paraId="2E6F01D8" w14:textId="77777777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</w:p>
        </w:tc>
        <w:tc>
          <w:tcPr>
            <w:tcW w:w="313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vAlign w:val="center"/>
            <w:hideMark/>
          </w:tcPr>
          <w:p w14:paraId="73A68FD6" w14:textId="77777777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FE0A8D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 </w:t>
            </w:r>
          </w:p>
        </w:tc>
      </w:tr>
      <w:tr w:rsidR="006323E0" w:rsidRPr="00FE0A8D" w14:paraId="14C29F56" w14:textId="77777777" w:rsidTr="006323E0">
        <w:trPr>
          <w:trHeight w:val="450"/>
        </w:trPr>
        <w:tc>
          <w:tcPr>
            <w:tcW w:w="566" w:type="dxa"/>
            <w:tcBorders>
              <w:top w:val="dashed" w:sz="4" w:space="0" w:color="A09373" w:themeColor="accent4"/>
              <w:left w:val="single" w:sz="4" w:space="0" w:color="676978" w:themeColor="accent2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noWrap/>
          </w:tcPr>
          <w:p w14:paraId="0C301AFA" w14:textId="4B8674FD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1.3</w:t>
            </w:r>
          </w:p>
        </w:tc>
        <w:tc>
          <w:tcPr>
            <w:tcW w:w="6517" w:type="dxa"/>
            <w:tcBorders>
              <w:top w:val="dashed" w:sz="4" w:space="0" w:color="A09373" w:themeColor="accent4"/>
              <w:bottom w:val="dashed" w:sz="4" w:space="0" w:color="A09373" w:themeColor="accent4"/>
            </w:tcBorders>
            <w:shd w:val="clear" w:color="auto" w:fill="auto"/>
            <w:vAlign w:val="center"/>
          </w:tcPr>
          <w:p w14:paraId="2C87AAD5" w14:textId="62296209" w:rsidR="006323E0" w:rsidRPr="00FE0A8D" w:rsidRDefault="006323E0" w:rsidP="009538C4">
            <w:pPr>
              <w:spacing w:before="80" w:after="80" w:line="240" w:lineRule="auto"/>
              <w:ind w:left="24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What shape will the economic recovery be</w:t>
            </w:r>
            <w:r w:rsidR="009538C4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:</w:t>
            </w: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V </w:t>
            </w:r>
            <w:r w:rsidR="009538C4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- </w:t>
            </w: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rapid recovery, U </w:t>
            </w:r>
            <w:r w:rsidR="009538C4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- </w:t>
            </w: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slow recovery or W </w:t>
            </w:r>
            <w:r w:rsidR="009538C4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- </w:t>
            </w: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recovery followed by another downturn?</w:t>
            </w:r>
          </w:p>
        </w:tc>
        <w:tc>
          <w:tcPr>
            <w:tcW w:w="313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vAlign w:val="center"/>
          </w:tcPr>
          <w:p w14:paraId="6BB18831" w14:textId="77777777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</w:p>
        </w:tc>
      </w:tr>
      <w:tr w:rsidR="006323E0" w:rsidRPr="00FE0A8D" w14:paraId="76C44661" w14:textId="77777777" w:rsidTr="006323E0">
        <w:trPr>
          <w:trHeight w:val="450"/>
        </w:trPr>
        <w:tc>
          <w:tcPr>
            <w:tcW w:w="566" w:type="dxa"/>
            <w:tcBorders>
              <w:top w:val="dashed" w:sz="4" w:space="0" w:color="A09373" w:themeColor="accent4"/>
              <w:left w:val="single" w:sz="4" w:space="0" w:color="676978" w:themeColor="accent2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noWrap/>
          </w:tcPr>
          <w:p w14:paraId="4090F9D6" w14:textId="76481793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1.4</w:t>
            </w:r>
          </w:p>
        </w:tc>
        <w:tc>
          <w:tcPr>
            <w:tcW w:w="6517" w:type="dxa"/>
            <w:tcBorders>
              <w:top w:val="dashed" w:sz="4" w:space="0" w:color="A09373" w:themeColor="accent4"/>
              <w:bottom w:val="dashed" w:sz="4" w:space="0" w:color="A09373"/>
            </w:tcBorders>
            <w:shd w:val="clear" w:color="auto" w:fill="auto"/>
            <w:vAlign w:val="center"/>
          </w:tcPr>
          <w:p w14:paraId="14CD5618" w14:textId="11164095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How will different sectors be impacted? e.g. hospitality, retail and overseas travel as compared to healthcare, technology and online sales. </w:t>
            </w:r>
          </w:p>
        </w:tc>
        <w:tc>
          <w:tcPr>
            <w:tcW w:w="313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vAlign w:val="center"/>
          </w:tcPr>
          <w:p w14:paraId="246CA35F" w14:textId="77777777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</w:p>
        </w:tc>
      </w:tr>
      <w:tr w:rsidR="006323E0" w:rsidRPr="00FE0A8D" w14:paraId="469DBCD9" w14:textId="77777777" w:rsidTr="006323E0">
        <w:trPr>
          <w:trHeight w:val="450"/>
        </w:trPr>
        <w:tc>
          <w:tcPr>
            <w:tcW w:w="566" w:type="dxa"/>
            <w:tcBorders>
              <w:top w:val="dashed" w:sz="4" w:space="0" w:color="A09373" w:themeColor="accent4"/>
              <w:left w:val="single" w:sz="4" w:space="0" w:color="676978" w:themeColor="accent2"/>
              <w:bottom w:val="dashed" w:sz="4" w:space="0" w:color="A09373" w:themeColor="accent4"/>
              <w:right w:val="dashed" w:sz="4" w:space="0" w:color="A09373"/>
            </w:tcBorders>
            <w:shd w:val="clear" w:color="auto" w:fill="auto"/>
            <w:noWrap/>
          </w:tcPr>
          <w:p w14:paraId="5FCED7BF" w14:textId="1406BE29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1.5</w:t>
            </w:r>
          </w:p>
        </w:tc>
        <w:tc>
          <w:tcPr>
            <w:tcW w:w="6517" w:type="dxa"/>
            <w:tcBorders>
              <w:top w:val="dashed" w:sz="4" w:space="0" w:color="A09373"/>
              <w:left w:val="dashed" w:sz="4" w:space="0" w:color="A09373"/>
              <w:bottom w:val="dashed" w:sz="4" w:space="0" w:color="A09373"/>
              <w:right w:val="dashed" w:sz="4" w:space="0" w:color="A09373"/>
            </w:tcBorders>
            <w:shd w:val="clear" w:color="auto" w:fill="auto"/>
            <w:vAlign w:val="center"/>
          </w:tcPr>
          <w:p w14:paraId="1D37AB3B" w14:textId="02D6AD77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What </w:t>
            </w:r>
            <w:r w:rsidR="00E662EE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will be</w:t>
            </w: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the impact on customers and suppliers?</w:t>
            </w:r>
          </w:p>
        </w:tc>
        <w:tc>
          <w:tcPr>
            <w:tcW w:w="3137" w:type="dxa"/>
            <w:tcBorders>
              <w:top w:val="dashed" w:sz="4" w:space="0" w:color="A09373" w:themeColor="accent4"/>
              <w:left w:val="dashed" w:sz="4" w:space="0" w:color="A09373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vAlign w:val="center"/>
          </w:tcPr>
          <w:p w14:paraId="7BB0BF09" w14:textId="77777777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</w:p>
        </w:tc>
      </w:tr>
      <w:tr w:rsidR="006323E0" w:rsidRPr="00FE0A8D" w14:paraId="66D871F3" w14:textId="77777777" w:rsidTr="006323E0">
        <w:trPr>
          <w:trHeight w:val="450"/>
        </w:trPr>
        <w:tc>
          <w:tcPr>
            <w:tcW w:w="566" w:type="dxa"/>
            <w:tcBorders>
              <w:top w:val="dashed" w:sz="4" w:space="0" w:color="A09373" w:themeColor="accent4"/>
              <w:left w:val="single" w:sz="4" w:space="0" w:color="676978" w:themeColor="accent2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noWrap/>
          </w:tcPr>
          <w:p w14:paraId="02B41155" w14:textId="1EEF4D0A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1.6</w:t>
            </w:r>
          </w:p>
        </w:tc>
        <w:tc>
          <w:tcPr>
            <w:tcW w:w="6517" w:type="dxa"/>
            <w:tcBorders>
              <w:top w:val="dashed" w:sz="4" w:space="0" w:color="A09373"/>
              <w:bottom w:val="dashed" w:sz="4" w:space="0" w:color="A09373"/>
            </w:tcBorders>
            <w:shd w:val="clear" w:color="auto" w:fill="auto"/>
            <w:vAlign w:val="center"/>
          </w:tcPr>
          <w:p w14:paraId="51099B8E" w14:textId="176A4799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How long will it take to reopen supply chains, particularly if the business </w:t>
            </w:r>
            <w:r w:rsidR="003D202C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i</w:t>
            </w: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s reliant on imports?</w:t>
            </w:r>
          </w:p>
        </w:tc>
        <w:tc>
          <w:tcPr>
            <w:tcW w:w="313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vAlign w:val="center"/>
          </w:tcPr>
          <w:p w14:paraId="78A180D5" w14:textId="77777777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</w:p>
        </w:tc>
      </w:tr>
      <w:tr w:rsidR="006323E0" w:rsidRPr="00FE0A8D" w14:paraId="2704BB81" w14:textId="77777777" w:rsidTr="006323E0">
        <w:trPr>
          <w:trHeight w:val="450"/>
        </w:trPr>
        <w:tc>
          <w:tcPr>
            <w:tcW w:w="566" w:type="dxa"/>
            <w:tcBorders>
              <w:top w:val="dashed" w:sz="4" w:space="0" w:color="A09373" w:themeColor="accent4"/>
              <w:left w:val="single" w:sz="4" w:space="0" w:color="676978" w:themeColor="accent2"/>
              <w:bottom w:val="dashed" w:sz="4" w:space="0" w:color="A09373" w:themeColor="accent4"/>
              <w:right w:val="dashed" w:sz="4" w:space="0" w:color="A09373"/>
            </w:tcBorders>
            <w:shd w:val="clear" w:color="auto" w:fill="auto"/>
            <w:noWrap/>
          </w:tcPr>
          <w:p w14:paraId="3D4521B8" w14:textId="6C8C7264" w:rsidR="006323E0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1.7</w:t>
            </w:r>
          </w:p>
        </w:tc>
        <w:tc>
          <w:tcPr>
            <w:tcW w:w="6517" w:type="dxa"/>
            <w:tcBorders>
              <w:top w:val="dashed" w:sz="4" w:space="0" w:color="A09373"/>
              <w:left w:val="dashed" w:sz="4" w:space="0" w:color="A09373"/>
              <w:bottom w:val="dashed" w:sz="4" w:space="0" w:color="A09373"/>
              <w:right w:val="dashed" w:sz="4" w:space="0" w:color="A09373"/>
            </w:tcBorders>
            <w:shd w:val="clear" w:color="auto" w:fill="auto"/>
            <w:vAlign w:val="center"/>
          </w:tcPr>
          <w:p w14:paraId="202B5707" w14:textId="5A816529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How can the cost base be reduced or be more flexible? How can overheads be reduced? </w:t>
            </w:r>
          </w:p>
        </w:tc>
        <w:tc>
          <w:tcPr>
            <w:tcW w:w="3137" w:type="dxa"/>
            <w:tcBorders>
              <w:top w:val="dashed" w:sz="4" w:space="0" w:color="A09373" w:themeColor="accent4"/>
              <w:left w:val="dashed" w:sz="4" w:space="0" w:color="A09373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vAlign w:val="center"/>
          </w:tcPr>
          <w:p w14:paraId="39B67073" w14:textId="77777777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</w:p>
        </w:tc>
      </w:tr>
      <w:tr w:rsidR="006323E0" w:rsidRPr="00FE0A8D" w14:paraId="1B4DA37D" w14:textId="77777777" w:rsidTr="006323E0">
        <w:trPr>
          <w:trHeight w:val="450"/>
        </w:trPr>
        <w:tc>
          <w:tcPr>
            <w:tcW w:w="566" w:type="dxa"/>
            <w:tcBorders>
              <w:top w:val="dashed" w:sz="4" w:space="0" w:color="A09373" w:themeColor="accent4"/>
              <w:left w:val="single" w:sz="4" w:space="0" w:color="676978" w:themeColor="accent2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noWrap/>
          </w:tcPr>
          <w:p w14:paraId="3AB0639E" w14:textId="340B93BE" w:rsidR="006323E0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1.8</w:t>
            </w:r>
          </w:p>
        </w:tc>
        <w:tc>
          <w:tcPr>
            <w:tcW w:w="6517" w:type="dxa"/>
            <w:tcBorders>
              <w:top w:val="dashed" w:sz="4" w:space="0" w:color="A09373"/>
              <w:bottom w:val="dashed" w:sz="4" w:space="0" w:color="A09373" w:themeColor="accent4"/>
            </w:tcBorders>
            <w:shd w:val="clear" w:color="auto" w:fill="auto"/>
            <w:vAlign w:val="center"/>
          </w:tcPr>
          <w:p w14:paraId="1BEA7BB1" w14:textId="2CE4621C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What has been learnt from the current crisis? e.g. the cost and efficiency benefits from forced working from home and use of technology.</w:t>
            </w:r>
          </w:p>
        </w:tc>
        <w:tc>
          <w:tcPr>
            <w:tcW w:w="313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vAlign w:val="center"/>
          </w:tcPr>
          <w:p w14:paraId="0D98003C" w14:textId="77777777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</w:p>
        </w:tc>
      </w:tr>
      <w:tr w:rsidR="006323E0" w:rsidRPr="00FE0A8D" w14:paraId="2D0F6F2D" w14:textId="77777777" w:rsidTr="006323E0">
        <w:trPr>
          <w:trHeight w:val="54"/>
        </w:trPr>
        <w:tc>
          <w:tcPr>
            <w:tcW w:w="566" w:type="dxa"/>
            <w:tcBorders>
              <w:top w:val="dashed" w:sz="4" w:space="0" w:color="A09373" w:themeColor="accent4"/>
              <w:left w:val="single" w:sz="4" w:space="0" w:color="676978" w:themeColor="accent2"/>
              <w:bottom w:val="dashed" w:sz="4" w:space="0" w:color="A09373"/>
              <w:right w:val="dashed" w:sz="4" w:space="0" w:color="A09373" w:themeColor="accent4"/>
            </w:tcBorders>
            <w:shd w:val="clear" w:color="auto" w:fill="auto"/>
            <w:noWrap/>
            <w:hideMark/>
          </w:tcPr>
          <w:p w14:paraId="1EB7E8F6" w14:textId="0CAB66EE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1.9</w:t>
            </w:r>
          </w:p>
        </w:tc>
        <w:tc>
          <w:tcPr>
            <w:tcW w:w="651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/>
              <w:right w:val="dashed" w:sz="4" w:space="0" w:color="A09373" w:themeColor="accent4"/>
            </w:tcBorders>
            <w:shd w:val="clear" w:color="auto" w:fill="auto"/>
            <w:vAlign w:val="center"/>
            <w:hideMark/>
          </w:tcPr>
          <w:p w14:paraId="1070DF37" w14:textId="3112AD69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94720F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What management information is required to ensure that the business can react quickly if there are further challenges?  </w:t>
            </w:r>
          </w:p>
        </w:tc>
        <w:tc>
          <w:tcPr>
            <w:tcW w:w="313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/>
              <w:right w:val="single" w:sz="4" w:space="0" w:color="676978" w:themeColor="accent2"/>
            </w:tcBorders>
            <w:shd w:val="clear" w:color="auto" w:fill="auto"/>
            <w:vAlign w:val="center"/>
            <w:hideMark/>
          </w:tcPr>
          <w:p w14:paraId="552FFD26" w14:textId="77777777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FE0A8D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 </w:t>
            </w:r>
          </w:p>
        </w:tc>
      </w:tr>
      <w:tr w:rsidR="006323E0" w:rsidRPr="00FE0A8D" w14:paraId="6EF145D2" w14:textId="77777777" w:rsidTr="00DD02FC">
        <w:trPr>
          <w:trHeight w:val="624"/>
        </w:trPr>
        <w:tc>
          <w:tcPr>
            <w:tcW w:w="566" w:type="dxa"/>
            <w:tcBorders>
              <w:top w:val="single" w:sz="4" w:space="0" w:color="676978" w:themeColor="accent2"/>
              <w:left w:val="single" w:sz="4" w:space="0" w:color="676978" w:themeColor="accent2"/>
              <w:bottom w:val="single" w:sz="4" w:space="0" w:color="676978" w:themeColor="accent2"/>
              <w:right w:val="nil"/>
            </w:tcBorders>
            <w:shd w:val="clear" w:color="auto" w:fill="C6D1DB" w:themeFill="accent3" w:themeFillTint="66"/>
            <w:noWrap/>
            <w:vAlign w:val="center"/>
            <w:hideMark/>
          </w:tcPr>
          <w:p w14:paraId="45351AC6" w14:textId="77777777" w:rsidR="006323E0" w:rsidRPr="00C11389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b/>
                <w:bCs/>
                <w:color w:val="333F48"/>
                <w:sz w:val="18"/>
                <w:szCs w:val="18"/>
                <w:lang w:eastAsia="en-GB"/>
              </w:rPr>
            </w:pPr>
            <w:bookmarkStart w:id="1" w:name="_Hlk37923934"/>
            <w:bookmarkEnd w:id="0"/>
            <w:r w:rsidRPr="00C11389">
              <w:rPr>
                <w:rFonts w:ascii="Tahoma" w:eastAsia="Times New Roman" w:hAnsi="Tahoma" w:cs="Tahoma"/>
                <w:b/>
                <w:bCs/>
                <w:color w:val="333F48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6517" w:type="dxa"/>
            <w:tcBorders>
              <w:top w:val="single" w:sz="4" w:space="0" w:color="676978" w:themeColor="accent2"/>
              <w:left w:val="nil"/>
              <w:bottom w:val="single" w:sz="4" w:space="0" w:color="676978" w:themeColor="accent2"/>
              <w:right w:val="nil"/>
            </w:tcBorders>
            <w:shd w:val="clear" w:color="auto" w:fill="C6D1DB" w:themeFill="accent3" w:themeFillTint="66"/>
            <w:noWrap/>
            <w:vAlign w:val="center"/>
            <w:hideMark/>
          </w:tcPr>
          <w:p w14:paraId="215101E3" w14:textId="0C5D37C1" w:rsidR="006323E0" w:rsidRPr="00C11389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b/>
                <w:bCs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333F48"/>
                <w:sz w:val="18"/>
                <w:szCs w:val="18"/>
                <w:lang w:eastAsia="en-GB"/>
              </w:rPr>
              <w:t>Cashflow</w:t>
            </w:r>
          </w:p>
        </w:tc>
        <w:tc>
          <w:tcPr>
            <w:tcW w:w="3137" w:type="dxa"/>
            <w:tcBorders>
              <w:top w:val="single" w:sz="4" w:space="0" w:color="676978" w:themeColor="accent2"/>
              <w:left w:val="nil"/>
              <w:bottom w:val="single" w:sz="4" w:space="0" w:color="676978" w:themeColor="accent2"/>
              <w:right w:val="single" w:sz="4" w:space="0" w:color="676978" w:themeColor="accent2"/>
            </w:tcBorders>
            <w:shd w:val="clear" w:color="auto" w:fill="C6D1DB" w:themeFill="accent3" w:themeFillTint="66"/>
            <w:noWrap/>
            <w:vAlign w:val="center"/>
            <w:hideMark/>
          </w:tcPr>
          <w:p w14:paraId="21705ECB" w14:textId="77777777" w:rsidR="006323E0" w:rsidRPr="00FE0A8D" w:rsidRDefault="006323E0" w:rsidP="006323E0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FE0A8D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 </w:t>
            </w:r>
          </w:p>
        </w:tc>
      </w:tr>
      <w:bookmarkEnd w:id="1"/>
      <w:tr w:rsidR="006323E0" w:rsidRPr="00FE0A8D" w14:paraId="3542D5A5" w14:textId="77777777" w:rsidTr="00271608">
        <w:trPr>
          <w:trHeight w:val="255"/>
        </w:trPr>
        <w:tc>
          <w:tcPr>
            <w:tcW w:w="10220" w:type="dxa"/>
            <w:gridSpan w:val="3"/>
            <w:tcBorders>
              <w:top w:val="single" w:sz="4" w:space="0" w:color="676978" w:themeColor="accent2"/>
              <w:left w:val="single" w:sz="4" w:space="0" w:color="676978" w:themeColor="accent2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noWrap/>
          </w:tcPr>
          <w:p w14:paraId="60E11080" w14:textId="6A1A2BD2" w:rsidR="006323E0" w:rsidRPr="00FE0A8D" w:rsidRDefault="006323E0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6323E0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Management will need to continue to adopt a hands-on approach to cash management</w:t>
            </w:r>
            <w:r w:rsidR="003D202C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post lockdown maintaining a 13-week rolling cashflow forecast</w:t>
            </w:r>
            <w:r w:rsidRPr="006323E0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, to retain liquidity in case of further risks and restrictions. </w:t>
            </w:r>
            <w:r w:rsidR="003D202C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The cashflow forecast should consider</w:t>
            </w:r>
            <w:r w:rsidRPr="006323E0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:      </w:t>
            </w:r>
          </w:p>
        </w:tc>
      </w:tr>
      <w:tr w:rsidR="006323E0" w:rsidRPr="00FE0A8D" w14:paraId="36DEB8EB" w14:textId="77777777" w:rsidTr="00271608">
        <w:trPr>
          <w:trHeight w:val="255"/>
        </w:trPr>
        <w:tc>
          <w:tcPr>
            <w:tcW w:w="566" w:type="dxa"/>
            <w:tcBorders>
              <w:top w:val="dashed" w:sz="4" w:space="0" w:color="A09373"/>
              <w:left w:val="single" w:sz="4" w:space="0" w:color="676978" w:themeColor="accent2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noWrap/>
            <w:hideMark/>
          </w:tcPr>
          <w:p w14:paraId="600AD7EE" w14:textId="0B0D6BF8" w:rsidR="006323E0" w:rsidRPr="00FE0A8D" w:rsidRDefault="006323E0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2</w:t>
            </w:r>
            <w:r w:rsidRPr="00FE0A8D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.1</w:t>
            </w:r>
          </w:p>
        </w:tc>
        <w:tc>
          <w:tcPr>
            <w:tcW w:w="6517" w:type="dxa"/>
            <w:tcBorders>
              <w:top w:val="dashed" w:sz="4" w:space="0" w:color="A09373"/>
              <w:left w:val="dashed" w:sz="4" w:space="0" w:color="A09373" w:themeColor="accent4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vAlign w:val="center"/>
            <w:hideMark/>
          </w:tcPr>
          <w:p w14:paraId="06792601" w14:textId="40DFD794" w:rsidR="006323E0" w:rsidRPr="00FE0A8D" w:rsidRDefault="006323E0" w:rsidP="006323E0">
            <w:pPr>
              <w:spacing w:before="80" w:after="80" w:line="240" w:lineRule="auto"/>
              <w:ind w:left="24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6323E0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How to manage and reach agreements in respect of deferred payments from lockdown in respect of trade creditors, rent, equipment leases, HMRC and lenders? </w:t>
            </w:r>
          </w:p>
        </w:tc>
        <w:tc>
          <w:tcPr>
            <w:tcW w:w="3137" w:type="dxa"/>
            <w:tcBorders>
              <w:top w:val="dashed" w:sz="4" w:space="0" w:color="A09373"/>
              <w:left w:val="dashed" w:sz="4" w:space="0" w:color="A09373" w:themeColor="accent4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vAlign w:val="center"/>
            <w:hideMark/>
          </w:tcPr>
          <w:p w14:paraId="70B3A570" w14:textId="77777777" w:rsidR="006323E0" w:rsidRPr="00FE0A8D" w:rsidRDefault="006323E0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FE0A8D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 </w:t>
            </w:r>
          </w:p>
        </w:tc>
      </w:tr>
      <w:tr w:rsidR="006323E0" w:rsidRPr="00FE0A8D" w14:paraId="5719C60A" w14:textId="77777777" w:rsidTr="00271608">
        <w:trPr>
          <w:trHeight w:val="450"/>
        </w:trPr>
        <w:tc>
          <w:tcPr>
            <w:tcW w:w="566" w:type="dxa"/>
            <w:tcBorders>
              <w:top w:val="dashed" w:sz="4" w:space="0" w:color="A09373" w:themeColor="accent4"/>
              <w:left w:val="single" w:sz="4" w:space="0" w:color="676978" w:themeColor="accent2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noWrap/>
            <w:hideMark/>
          </w:tcPr>
          <w:p w14:paraId="1968D355" w14:textId="4DB2BD6B" w:rsidR="006323E0" w:rsidRPr="00FE0A8D" w:rsidRDefault="006323E0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2</w:t>
            </w:r>
            <w:r w:rsidRPr="00FE0A8D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.2</w:t>
            </w:r>
          </w:p>
        </w:tc>
        <w:tc>
          <w:tcPr>
            <w:tcW w:w="651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vAlign w:val="center"/>
            <w:hideMark/>
          </w:tcPr>
          <w:p w14:paraId="63373041" w14:textId="77777777" w:rsidR="006323E0" w:rsidRPr="006323E0" w:rsidRDefault="006323E0" w:rsidP="006323E0">
            <w:pPr>
              <w:spacing w:before="80" w:after="80" w:line="240" w:lineRule="auto"/>
              <w:ind w:left="24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6323E0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Trading terms with suppliers and customers – will they be on previous credit terms or proforma?</w:t>
            </w:r>
          </w:p>
          <w:p w14:paraId="0259BE34" w14:textId="77777777" w:rsidR="006323E0" w:rsidRPr="00FE0A8D" w:rsidRDefault="006323E0" w:rsidP="006323E0">
            <w:pPr>
              <w:spacing w:before="80" w:after="80" w:line="240" w:lineRule="auto"/>
              <w:ind w:left="24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</w:p>
        </w:tc>
        <w:tc>
          <w:tcPr>
            <w:tcW w:w="313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vAlign w:val="center"/>
            <w:hideMark/>
          </w:tcPr>
          <w:p w14:paraId="47E27E72" w14:textId="77777777" w:rsidR="006323E0" w:rsidRPr="00FE0A8D" w:rsidRDefault="006323E0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FE0A8D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 </w:t>
            </w:r>
          </w:p>
        </w:tc>
      </w:tr>
      <w:tr w:rsidR="003D202C" w:rsidRPr="00FE0A8D" w14:paraId="67C1B4F9" w14:textId="77777777" w:rsidTr="00271608">
        <w:trPr>
          <w:trHeight w:val="450"/>
        </w:trPr>
        <w:tc>
          <w:tcPr>
            <w:tcW w:w="566" w:type="dxa"/>
            <w:tcBorders>
              <w:top w:val="dashed" w:sz="4" w:space="0" w:color="A09373" w:themeColor="accent4"/>
              <w:left w:val="single" w:sz="4" w:space="0" w:color="676978" w:themeColor="accent2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noWrap/>
          </w:tcPr>
          <w:p w14:paraId="1D341FCB" w14:textId="634EC90A" w:rsidR="003D202C" w:rsidRDefault="003D202C" w:rsidP="003D202C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2.3</w:t>
            </w:r>
          </w:p>
        </w:tc>
        <w:tc>
          <w:tcPr>
            <w:tcW w:w="651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vAlign w:val="center"/>
          </w:tcPr>
          <w:p w14:paraId="73B46777" w14:textId="14F3F323" w:rsidR="003D202C" w:rsidRPr="006323E0" w:rsidRDefault="003D202C" w:rsidP="003D202C">
            <w:pPr>
              <w:spacing w:before="80" w:after="80" w:line="240" w:lineRule="auto"/>
              <w:ind w:left="24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6323E0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Operation of invoice finance facilities – what does the ageing look like? How will it operate in the current environment? Engaging with the lender and obtaining support.</w:t>
            </w:r>
          </w:p>
        </w:tc>
        <w:tc>
          <w:tcPr>
            <w:tcW w:w="313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vAlign w:val="center"/>
          </w:tcPr>
          <w:p w14:paraId="6AF22D53" w14:textId="77777777" w:rsidR="003D202C" w:rsidRPr="00FE0A8D" w:rsidRDefault="003D202C" w:rsidP="003D202C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</w:p>
        </w:tc>
      </w:tr>
      <w:tr w:rsidR="00806D15" w:rsidRPr="00FE0A8D" w14:paraId="448FEBD7" w14:textId="77777777" w:rsidTr="00866735">
        <w:trPr>
          <w:trHeight w:val="450"/>
        </w:trPr>
        <w:tc>
          <w:tcPr>
            <w:tcW w:w="566" w:type="dxa"/>
            <w:tcBorders>
              <w:top w:val="dashed" w:sz="4" w:space="0" w:color="A09373" w:themeColor="accent4"/>
              <w:left w:val="single" w:sz="4" w:space="0" w:color="676978" w:themeColor="accent2"/>
              <w:bottom w:val="single" w:sz="4" w:space="0" w:color="676978"/>
              <w:right w:val="dashed" w:sz="4" w:space="0" w:color="A09373" w:themeColor="accent4"/>
            </w:tcBorders>
            <w:shd w:val="clear" w:color="auto" w:fill="auto"/>
            <w:noWrap/>
          </w:tcPr>
          <w:p w14:paraId="0C29EA79" w14:textId="0A8EB000" w:rsidR="00806D15" w:rsidRPr="00FE0A8D" w:rsidRDefault="00806D15" w:rsidP="00806D15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lastRenderedPageBreak/>
              <w:t>2.4</w:t>
            </w:r>
          </w:p>
        </w:tc>
        <w:tc>
          <w:tcPr>
            <w:tcW w:w="6517" w:type="dxa"/>
            <w:tcBorders>
              <w:top w:val="dashed" w:sz="4" w:space="0" w:color="A09373" w:themeColor="accent4"/>
              <w:bottom w:val="single" w:sz="4" w:space="0" w:color="676978"/>
            </w:tcBorders>
            <w:shd w:val="clear" w:color="auto" w:fill="auto"/>
            <w:vAlign w:val="center"/>
          </w:tcPr>
          <w:p w14:paraId="3F14D8EF" w14:textId="1F02B623" w:rsidR="00806D15" w:rsidRPr="00FE0A8D" w:rsidRDefault="00806D15" w:rsidP="00806D15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6323E0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What are the low points</w:t>
            </w: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or </w:t>
            </w:r>
            <w:r w:rsidRPr="006323E0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requirements and how can these be managed?</w:t>
            </w:r>
          </w:p>
        </w:tc>
        <w:tc>
          <w:tcPr>
            <w:tcW w:w="3137" w:type="dxa"/>
            <w:tcBorders>
              <w:top w:val="dashed" w:sz="4" w:space="0" w:color="A09373" w:themeColor="accent4"/>
              <w:left w:val="dashed" w:sz="4" w:space="0" w:color="A09373" w:themeColor="accent4"/>
              <w:bottom w:val="single" w:sz="4" w:space="0" w:color="676978"/>
              <w:right w:val="single" w:sz="4" w:space="0" w:color="676978" w:themeColor="accent2"/>
            </w:tcBorders>
            <w:shd w:val="clear" w:color="auto" w:fill="auto"/>
            <w:vAlign w:val="center"/>
          </w:tcPr>
          <w:p w14:paraId="1DD30C69" w14:textId="77777777" w:rsidR="00806D15" w:rsidRPr="00FE0A8D" w:rsidRDefault="00806D15" w:rsidP="00806D15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</w:p>
        </w:tc>
      </w:tr>
      <w:tr w:rsidR="00866735" w:rsidRPr="00FE0A8D" w14:paraId="5B34E926" w14:textId="77777777" w:rsidTr="00271608">
        <w:trPr>
          <w:trHeight w:val="454"/>
        </w:trPr>
        <w:tc>
          <w:tcPr>
            <w:tcW w:w="566" w:type="dxa"/>
            <w:tcBorders>
              <w:top w:val="single" w:sz="4" w:space="0" w:color="676978" w:themeColor="accent2"/>
              <w:left w:val="single" w:sz="4" w:space="0" w:color="676978" w:themeColor="accent2"/>
              <w:bottom w:val="single" w:sz="4" w:space="0" w:color="676978" w:themeColor="accent2"/>
              <w:right w:val="nil"/>
            </w:tcBorders>
            <w:shd w:val="clear" w:color="auto" w:fill="C6D1DB" w:themeFill="accent3" w:themeFillTint="66"/>
            <w:noWrap/>
            <w:vAlign w:val="center"/>
            <w:hideMark/>
          </w:tcPr>
          <w:p w14:paraId="1F996C12" w14:textId="77777777" w:rsidR="00866735" w:rsidRPr="00C11389" w:rsidRDefault="00866735" w:rsidP="00271608">
            <w:pPr>
              <w:spacing w:before="80" w:after="80" w:line="240" w:lineRule="auto"/>
              <w:rPr>
                <w:rFonts w:ascii="Tahoma" w:eastAsia="Times New Roman" w:hAnsi="Tahoma" w:cs="Tahoma"/>
                <w:b/>
                <w:bCs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333F48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517" w:type="dxa"/>
            <w:tcBorders>
              <w:top w:val="single" w:sz="4" w:space="0" w:color="676978" w:themeColor="accent2"/>
              <w:left w:val="nil"/>
              <w:bottom w:val="single" w:sz="4" w:space="0" w:color="676978" w:themeColor="accent2"/>
              <w:right w:val="nil"/>
            </w:tcBorders>
            <w:shd w:val="clear" w:color="auto" w:fill="C6D1DB" w:themeFill="accent3" w:themeFillTint="66"/>
            <w:noWrap/>
            <w:vAlign w:val="center"/>
            <w:hideMark/>
          </w:tcPr>
          <w:p w14:paraId="5BD3B5CB" w14:textId="77777777" w:rsidR="00866735" w:rsidRPr="00C11389" w:rsidRDefault="00866735" w:rsidP="00271608">
            <w:pPr>
              <w:spacing w:before="80" w:after="80" w:line="240" w:lineRule="auto"/>
              <w:rPr>
                <w:rFonts w:ascii="Tahoma" w:eastAsia="Times New Roman" w:hAnsi="Tahoma" w:cs="Tahoma"/>
                <w:b/>
                <w:bCs/>
                <w:color w:val="333F48"/>
                <w:sz w:val="20"/>
                <w:szCs w:val="20"/>
                <w:lang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333F48"/>
                <w:sz w:val="20"/>
                <w:szCs w:val="20"/>
                <w:lang w:eastAsia="en-GB"/>
              </w:rPr>
              <w:t>Stakeholder management</w:t>
            </w:r>
          </w:p>
        </w:tc>
        <w:tc>
          <w:tcPr>
            <w:tcW w:w="3137" w:type="dxa"/>
            <w:tcBorders>
              <w:top w:val="single" w:sz="4" w:space="0" w:color="676978" w:themeColor="accent2"/>
              <w:left w:val="nil"/>
              <w:bottom w:val="single" w:sz="4" w:space="0" w:color="676978" w:themeColor="accent2"/>
              <w:right w:val="single" w:sz="4" w:space="0" w:color="676978" w:themeColor="accent2"/>
            </w:tcBorders>
            <w:shd w:val="clear" w:color="auto" w:fill="C6D1DB" w:themeFill="accent3" w:themeFillTint="66"/>
            <w:noWrap/>
            <w:vAlign w:val="center"/>
            <w:hideMark/>
          </w:tcPr>
          <w:p w14:paraId="63F222FB" w14:textId="77777777" w:rsidR="00866735" w:rsidRPr="00FE0A8D" w:rsidRDefault="00866735" w:rsidP="00271608">
            <w:pPr>
              <w:spacing w:before="80" w:after="80" w:line="240" w:lineRule="auto"/>
              <w:rPr>
                <w:rFonts w:ascii="Tahoma" w:eastAsia="Times New Roman" w:hAnsi="Tahoma" w:cs="Tahoma"/>
                <w:b/>
                <w:bCs/>
                <w:color w:val="333F48"/>
                <w:sz w:val="18"/>
                <w:szCs w:val="18"/>
                <w:lang w:eastAsia="en-GB"/>
              </w:rPr>
            </w:pPr>
            <w:r w:rsidRPr="00FE0A8D">
              <w:rPr>
                <w:rFonts w:ascii="Tahoma" w:eastAsia="Times New Roman" w:hAnsi="Tahoma" w:cs="Tahoma"/>
                <w:b/>
                <w:bCs/>
                <w:color w:val="333F48"/>
                <w:sz w:val="18"/>
                <w:szCs w:val="18"/>
                <w:lang w:eastAsia="en-GB"/>
              </w:rPr>
              <w:t> </w:t>
            </w:r>
          </w:p>
        </w:tc>
      </w:tr>
      <w:tr w:rsidR="00866735" w:rsidRPr="00FE0A8D" w14:paraId="36A94961" w14:textId="77777777" w:rsidTr="00271608">
        <w:trPr>
          <w:trHeight w:val="255"/>
        </w:trPr>
        <w:tc>
          <w:tcPr>
            <w:tcW w:w="10220" w:type="dxa"/>
            <w:gridSpan w:val="3"/>
            <w:tcBorders>
              <w:top w:val="single" w:sz="4" w:space="0" w:color="676978" w:themeColor="accent2"/>
              <w:left w:val="single" w:sz="4" w:space="0" w:color="676978" w:themeColor="accent2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noWrap/>
          </w:tcPr>
          <w:p w14:paraId="17E13B36" w14:textId="1AB1CDA4" w:rsidR="00866735" w:rsidRPr="00FE0A8D" w:rsidRDefault="005F6979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Proactively engaging with </w:t>
            </w:r>
            <w:r w:rsidR="00F93555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key</w:t>
            </w: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stakeholder</w:t>
            </w:r>
            <w:r w:rsidR="00F93555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s</w:t>
            </w: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once </w:t>
            </w:r>
            <w:r w:rsidR="003D202C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lockdown restrictions are lifted</w:t>
            </w:r>
            <w:r w:rsidR="00866735" w:rsidRPr="006323E0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can assist with </w:t>
            </w:r>
            <w:r w:rsidR="006B6455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better</w:t>
            </w: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 planning and forecasting, creating a fuller more accurate picture. </w:t>
            </w:r>
            <w:r w:rsidRPr="006323E0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Stakeholders </w:t>
            </w: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may </w:t>
            </w:r>
            <w:r w:rsidRPr="006323E0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 xml:space="preserve">include employees, suppliers, customers, shareholders, lenders, landlords and pension fund trustees. </w:t>
            </w: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This information gathering should consider:</w:t>
            </w:r>
          </w:p>
        </w:tc>
      </w:tr>
      <w:tr w:rsidR="00866735" w:rsidRPr="00FE0A8D" w14:paraId="2E080391" w14:textId="77777777" w:rsidTr="00271608">
        <w:trPr>
          <w:trHeight w:val="255"/>
        </w:trPr>
        <w:tc>
          <w:tcPr>
            <w:tcW w:w="566" w:type="dxa"/>
            <w:tcBorders>
              <w:top w:val="dashed" w:sz="4" w:space="0" w:color="A09373"/>
              <w:left w:val="single" w:sz="4" w:space="0" w:color="676978" w:themeColor="accent2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noWrap/>
            <w:hideMark/>
          </w:tcPr>
          <w:p w14:paraId="1770E203" w14:textId="77777777" w:rsidR="00866735" w:rsidRPr="00FE0A8D" w:rsidRDefault="00866735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3</w:t>
            </w:r>
            <w:r w:rsidRPr="00FE0A8D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.1</w:t>
            </w:r>
          </w:p>
        </w:tc>
        <w:tc>
          <w:tcPr>
            <w:tcW w:w="6517" w:type="dxa"/>
            <w:tcBorders>
              <w:top w:val="dashed" w:sz="4" w:space="0" w:color="A09373"/>
              <w:left w:val="dashed" w:sz="4" w:space="0" w:color="A09373" w:themeColor="accent4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vAlign w:val="center"/>
            <w:hideMark/>
          </w:tcPr>
          <w:p w14:paraId="609B4369" w14:textId="77777777" w:rsidR="00866735" w:rsidRPr="00FE0A8D" w:rsidRDefault="00866735" w:rsidP="00271608">
            <w:pPr>
              <w:spacing w:before="80" w:after="80" w:line="240" w:lineRule="auto"/>
              <w:ind w:left="24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866735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Who are the key stakeholders and what are their objectives?</w:t>
            </w:r>
            <w:bookmarkStart w:id="2" w:name="_GoBack"/>
            <w:bookmarkEnd w:id="2"/>
          </w:p>
        </w:tc>
        <w:tc>
          <w:tcPr>
            <w:tcW w:w="3137" w:type="dxa"/>
            <w:tcBorders>
              <w:top w:val="dashed" w:sz="4" w:space="0" w:color="A09373"/>
              <w:left w:val="dashed" w:sz="4" w:space="0" w:color="A09373" w:themeColor="accent4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vAlign w:val="center"/>
            <w:hideMark/>
          </w:tcPr>
          <w:p w14:paraId="3F76076F" w14:textId="77777777" w:rsidR="00866735" w:rsidRPr="00FE0A8D" w:rsidRDefault="00866735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FE0A8D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 </w:t>
            </w:r>
          </w:p>
        </w:tc>
      </w:tr>
      <w:tr w:rsidR="00866735" w:rsidRPr="00FE0A8D" w14:paraId="1BDBAC47" w14:textId="77777777" w:rsidTr="00271608">
        <w:trPr>
          <w:trHeight w:val="450"/>
        </w:trPr>
        <w:tc>
          <w:tcPr>
            <w:tcW w:w="566" w:type="dxa"/>
            <w:tcBorders>
              <w:top w:val="dashed" w:sz="4" w:space="0" w:color="A09373" w:themeColor="accent4"/>
              <w:left w:val="single" w:sz="4" w:space="0" w:color="676978" w:themeColor="accent2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noWrap/>
            <w:hideMark/>
          </w:tcPr>
          <w:p w14:paraId="047DAE24" w14:textId="77777777" w:rsidR="00866735" w:rsidRPr="00FE0A8D" w:rsidRDefault="00866735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3</w:t>
            </w:r>
            <w:r w:rsidRPr="00FE0A8D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.2</w:t>
            </w:r>
          </w:p>
        </w:tc>
        <w:tc>
          <w:tcPr>
            <w:tcW w:w="651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vAlign w:val="center"/>
            <w:hideMark/>
          </w:tcPr>
          <w:p w14:paraId="648E5419" w14:textId="77777777" w:rsidR="00866735" w:rsidRPr="00FE0A8D" w:rsidRDefault="00866735" w:rsidP="00271608">
            <w:pPr>
              <w:spacing w:before="80" w:after="80" w:line="240" w:lineRule="auto"/>
              <w:ind w:left="24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866735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How have the stakeholders been impacted by the crisis?</w:t>
            </w:r>
          </w:p>
        </w:tc>
        <w:tc>
          <w:tcPr>
            <w:tcW w:w="313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vAlign w:val="center"/>
            <w:hideMark/>
          </w:tcPr>
          <w:p w14:paraId="433D25B0" w14:textId="77777777" w:rsidR="00866735" w:rsidRPr="00FE0A8D" w:rsidRDefault="00866735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FE0A8D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 </w:t>
            </w:r>
          </w:p>
        </w:tc>
      </w:tr>
      <w:tr w:rsidR="00866735" w:rsidRPr="00FE0A8D" w14:paraId="29519F8B" w14:textId="77777777" w:rsidTr="00271608">
        <w:trPr>
          <w:trHeight w:val="450"/>
        </w:trPr>
        <w:tc>
          <w:tcPr>
            <w:tcW w:w="566" w:type="dxa"/>
            <w:tcBorders>
              <w:top w:val="dashed" w:sz="4" w:space="0" w:color="A09373" w:themeColor="accent4"/>
              <w:left w:val="single" w:sz="4" w:space="0" w:color="676978" w:themeColor="accent2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noWrap/>
          </w:tcPr>
          <w:p w14:paraId="556CE361" w14:textId="77777777" w:rsidR="00866735" w:rsidRPr="00FE0A8D" w:rsidRDefault="00866735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3.3</w:t>
            </w:r>
          </w:p>
        </w:tc>
        <w:tc>
          <w:tcPr>
            <w:tcW w:w="6517" w:type="dxa"/>
            <w:tcBorders>
              <w:top w:val="dashed" w:sz="4" w:space="0" w:color="A09373" w:themeColor="accent4"/>
              <w:bottom w:val="dashed" w:sz="4" w:space="0" w:color="A09373" w:themeColor="accent4"/>
            </w:tcBorders>
            <w:shd w:val="clear" w:color="auto" w:fill="auto"/>
            <w:vAlign w:val="center"/>
          </w:tcPr>
          <w:p w14:paraId="4D5BD3EF" w14:textId="77777777" w:rsidR="00866735" w:rsidRPr="00FE0A8D" w:rsidRDefault="00866735" w:rsidP="00271608">
            <w:pPr>
              <w:spacing w:before="80" w:after="80" w:line="240" w:lineRule="auto"/>
              <w:ind w:left="24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866735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What are their information requirements?</w:t>
            </w:r>
          </w:p>
        </w:tc>
        <w:tc>
          <w:tcPr>
            <w:tcW w:w="313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vAlign w:val="center"/>
          </w:tcPr>
          <w:p w14:paraId="56DE4D8B" w14:textId="77777777" w:rsidR="00866735" w:rsidRPr="00FE0A8D" w:rsidRDefault="00866735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</w:p>
        </w:tc>
      </w:tr>
      <w:tr w:rsidR="00866735" w:rsidRPr="00FE0A8D" w14:paraId="2ABA0789" w14:textId="77777777" w:rsidTr="00271608">
        <w:trPr>
          <w:trHeight w:val="450"/>
        </w:trPr>
        <w:tc>
          <w:tcPr>
            <w:tcW w:w="566" w:type="dxa"/>
            <w:tcBorders>
              <w:top w:val="dashed" w:sz="4" w:space="0" w:color="A09373" w:themeColor="accent4"/>
              <w:left w:val="single" w:sz="4" w:space="0" w:color="676978" w:themeColor="accent2"/>
              <w:bottom w:val="dashed" w:sz="4" w:space="0" w:color="A09373" w:themeColor="accent4"/>
              <w:right w:val="dashed" w:sz="4" w:space="0" w:color="A09373" w:themeColor="accent4"/>
            </w:tcBorders>
            <w:shd w:val="clear" w:color="auto" w:fill="auto"/>
            <w:noWrap/>
          </w:tcPr>
          <w:p w14:paraId="3B626D5D" w14:textId="77777777" w:rsidR="00866735" w:rsidRPr="00FE0A8D" w:rsidRDefault="00866735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3.4</w:t>
            </w:r>
          </w:p>
        </w:tc>
        <w:tc>
          <w:tcPr>
            <w:tcW w:w="6517" w:type="dxa"/>
            <w:tcBorders>
              <w:top w:val="dashed" w:sz="4" w:space="0" w:color="A09373" w:themeColor="accent4"/>
              <w:bottom w:val="dashed" w:sz="4" w:space="0" w:color="A09373"/>
            </w:tcBorders>
            <w:shd w:val="clear" w:color="auto" w:fill="auto"/>
            <w:vAlign w:val="center"/>
          </w:tcPr>
          <w:p w14:paraId="4A0A68C5" w14:textId="77777777" w:rsidR="00866735" w:rsidRPr="00FE0A8D" w:rsidRDefault="00866735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866735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How best to communicate and how often?</w:t>
            </w:r>
          </w:p>
        </w:tc>
        <w:tc>
          <w:tcPr>
            <w:tcW w:w="3137" w:type="dxa"/>
            <w:tcBorders>
              <w:top w:val="dashed" w:sz="4" w:space="0" w:color="A09373" w:themeColor="accent4"/>
              <w:left w:val="dashed" w:sz="4" w:space="0" w:color="A09373" w:themeColor="accent4"/>
              <w:bottom w:val="dashed" w:sz="4" w:space="0" w:color="A09373" w:themeColor="accent4"/>
              <w:right w:val="single" w:sz="4" w:space="0" w:color="676978" w:themeColor="accent2"/>
            </w:tcBorders>
            <w:shd w:val="clear" w:color="auto" w:fill="auto"/>
            <w:vAlign w:val="center"/>
          </w:tcPr>
          <w:p w14:paraId="0C621B32" w14:textId="77777777" w:rsidR="00866735" w:rsidRPr="00FE0A8D" w:rsidRDefault="00866735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</w:p>
        </w:tc>
      </w:tr>
      <w:tr w:rsidR="00866735" w:rsidRPr="00FE0A8D" w14:paraId="00BE368A" w14:textId="77777777" w:rsidTr="00271608">
        <w:trPr>
          <w:trHeight w:val="450"/>
        </w:trPr>
        <w:tc>
          <w:tcPr>
            <w:tcW w:w="566" w:type="dxa"/>
            <w:tcBorders>
              <w:top w:val="dashed" w:sz="4" w:space="0" w:color="A09373" w:themeColor="accent4"/>
              <w:left w:val="single" w:sz="4" w:space="0" w:color="676978" w:themeColor="accent2"/>
              <w:bottom w:val="single" w:sz="4" w:space="0" w:color="676978" w:themeColor="accent2"/>
              <w:right w:val="dashed" w:sz="4" w:space="0" w:color="A09373"/>
            </w:tcBorders>
            <w:shd w:val="clear" w:color="auto" w:fill="auto"/>
            <w:noWrap/>
          </w:tcPr>
          <w:p w14:paraId="3DBFD95A" w14:textId="77777777" w:rsidR="00866735" w:rsidRPr="00FE0A8D" w:rsidRDefault="00866735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3.5</w:t>
            </w:r>
          </w:p>
        </w:tc>
        <w:tc>
          <w:tcPr>
            <w:tcW w:w="6517" w:type="dxa"/>
            <w:tcBorders>
              <w:top w:val="dashed" w:sz="4" w:space="0" w:color="A09373"/>
              <w:left w:val="dashed" w:sz="4" w:space="0" w:color="A09373"/>
              <w:bottom w:val="single" w:sz="4" w:space="0" w:color="676978" w:themeColor="accent2"/>
              <w:right w:val="dashed" w:sz="4" w:space="0" w:color="A09373"/>
            </w:tcBorders>
            <w:shd w:val="clear" w:color="auto" w:fill="auto"/>
            <w:vAlign w:val="center"/>
          </w:tcPr>
          <w:p w14:paraId="04022F96" w14:textId="77777777" w:rsidR="00866735" w:rsidRPr="00FE0A8D" w:rsidRDefault="00866735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  <w:r w:rsidRPr="00866735"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  <w:t>Which key stakeholders could assist if further support is required?</w:t>
            </w:r>
          </w:p>
        </w:tc>
        <w:tc>
          <w:tcPr>
            <w:tcW w:w="3137" w:type="dxa"/>
            <w:tcBorders>
              <w:top w:val="dashed" w:sz="4" w:space="0" w:color="A09373" w:themeColor="accent4"/>
              <w:left w:val="dashed" w:sz="4" w:space="0" w:color="A09373"/>
              <w:bottom w:val="single" w:sz="4" w:space="0" w:color="676978" w:themeColor="accent2"/>
              <w:right w:val="single" w:sz="4" w:space="0" w:color="676978" w:themeColor="accent2"/>
            </w:tcBorders>
            <w:shd w:val="clear" w:color="auto" w:fill="auto"/>
            <w:vAlign w:val="center"/>
          </w:tcPr>
          <w:p w14:paraId="62E83175" w14:textId="77777777" w:rsidR="00866735" w:rsidRPr="00FE0A8D" w:rsidRDefault="00866735" w:rsidP="00271608">
            <w:pPr>
              <w:spacing w:before="80" w:after="80" w:line="240" w:lineRule="auto"/>
              <w:rPr>
                <w:rFonts w:ascii="Tahoma" w:eastAsia="Times New Roman" w:hAnsi="Tahoma" w:cs="Tahoma"/>
                <w:color w:val="333F48"/>
                <w:sz w:val="18"/>
                <w:szCs w:val="18"/>
                <w:lang w:eastAsia="en-GB"/>
              </w:rPr>
            </w:pPr>
          </w:p>
        </w:tc>
      </w:tr>
    </w:tbl>
    <w:p w14:paraId="6645CB6E" w14:textId="4FF0C6DD" w:rsidR="00DD02FC" w:rsidRDefault="00DD02FC"/>
    <w:p w14:paraId="76445CFE" w14:textId="77777777" w:rsidR="00866735" w:rsidRPr="00866735" w:rsidRDefault="00866735">
      <w:pPr>
        <w:rPr>
          <w:rFonts w:ascii="Tahoma" w:hAnsi="Tahoma" w:cs="Tahoma"/>
          <w:sz w:val="20"/>
        </w:rPr>
      </w:pPr>
    </w:p>
    <w:sectPr w:rsidR="00866735" w:rsidRPr="00866735" w:rsidSect="003D202C">
      <w:headerReference w:type="default" r:id="rId10"/>
      <w:footerReference w:type="default" r:id="rId11"/>
      <w:pgSz w:w="11906" w:h="16838"/>
      <w:pgMar w:top="720" w:right="720" w:bottom="22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0577FE" w14:textId="77777777" w:rsidR="00972E78" w:rsidRDefault="00972E78" w:rsidP="00571CD6">
      <w:pPr>
        <w:spacing w:after="0" w:line="240" w:lineRule="auto"/>
      </w:pPr>
      <w:r>
        <w:separator/>
      </w:r>
    </w:p>
  </w:endnote>
  <w:endnote w:type="continuationSeparator" w:id="0">
    <w:p w14:paraId="789FF028" w14:textId="77777777" w:rsidR="00972E78" w:rsidRDefault="00972E78" w:rsidP="00571C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raphit">
    <w:altName w:val="Cambria"/>
    <w:panose1 w:val="020B0503010203020203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623D8D" w14:textId="6268D519" w:rsidR="00CC41B8" w:rsidRPr="00CC41B8" w:rsidRDefault="00CC41B8">
    <w:pPr>
      <w:pStyle w:val="Footer"/>
      <w:rPr>
        <w:color w:val="A09373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6AC40C20" wp14:editId="2197ABC6">
          <wp:simplePos x="0" y="0"/>
          <wp:positionH relativeFrom="column">
            <wp:posOffset>-133350</wp:posOffset>
          </wp:positionH>
          <wp:positionV relativeFrom="paragraph">
            <wp:posOffset>-272415</wp:posOffset>
          </wp:positionV>
          <wp:extent cx="965713" cy="542925"/>
          <wp:effectExtent l="0" t="0" r="6350" b="0"/>
          <wp:wrapTight wrapText="bothSides">
            <wp:wrapPolygon edited="0">
              <wp:start x="0" y="0"/>
              <wp:lineTo x="0" y="20463"/>
              <wp:lineTo x="21316" y="20463"/>
              <wp:lineTo x="21316" y="0"/>
              <wp:lineTo x="0" y="0"/>
            </wp:wrapPolygon>
          </wp:wrapTight>
          <wp:docPr id="23" name="Picture 23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imary-FRP-Logo-2019-RGB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5713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C41B8">
      <w:rPr>
        <w:color w:val="A09373"/>
      </w:rPr>
      <w:ptab w:relativeTo="margin" w:alignment="center" w:leader="none"/>
    </w:r>
    <w:r w:rsidRPr="00CC41B8">
      <w:rPr>
        <w:color w:val="A09373"/>
      </w:rPr>
      <w:ptab w:relativeTo="margin" w:alignment="right" w:leader="none"/>
    </w:r>
    <w:r w:rsidRPr="00CC41B8">
      <w:rPr>
        <w:color w:val="A09373"/>
      </w:rPr>
      <w:t>frpadvisory.com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664880" w14:textId="77777777" w:rsidR="00972E78" w:rsidRDefault="00972E78" w:rsidP="00571CD6">
      <w:pPr>
        <w:spacing w:after="0" w:line="240" w:lineRule="auto"/>
      </w:pPr>
      <w:r>
        <w:separator/>
      </w:r>
    </w:p>
  </w:footnote>
  <w:footnote w:type="continuationSeparator" w:id="0">
    <w:p w14:paraId="5B31EAF2" w14:textId="77777777" w:rsidR="00972E78" w:rsidRDefault="00972E78" w:rsidP="00571C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2BA8FC" w14:textId="4E1D8248" w:rsidR="00321EF3" w:rsidRDefault="00321EF3">
    <w:pPr>
      <w:pStyle w:val="Header"/>
    </w:pPr>
  </w:p>
  <w:p w14:paraId="5D1BE38A" w14:textId="77777777" w:rsidR="00321EF3" w:rsidRDefault="00321E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8135A"/>
    <w:multiLevelType w:val="hybridMultilevel"/>
    <w:tmpl w:val="30B4B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8313D"/>
    <w:multiLevelType w:val="hybridMultilevel"/>
    <w:tmpl w:val="478659BC"/>
    <w:lvl w:ilvl="0" w:tplc="B298E0EC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5DD0"/>
    <w:multiLevelType w:val="hybridMultilevel"/>
    <w:tmpl w:val="83C82B0C"/>
    <w:lvl w:ilvl="0" w:tplc="0340FCEA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526EA4"/>
    <w:multiLevelType w:val="hybridMultilevel"/>
    <w:tmpl w:val="59548670"/>
    <w:lvl w:ilvl="0" w:tplc="0340FCEA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064DD8"/>
    <w:multiLevelType w:val="hybridMultilevel"/>
    <w:tmpl w:val="0EBECDBA"/>
    <w:lvl w:ilvl="0" w:tplc="B298E0EC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784DB5"/>
    <w:multiLevelType w:val="hybridMultilevel"/>
    <w:tmpl w:val="79925D0E"/>
    <w:lvl w:ilvl="0" w:tplc="0340FCEA">
      <w:numFmt w:val="bullet"/>
      <w:lvlText w:val="•"/>
      <w:lvlJc w:val="left"/>
      <w:pPr>
        <w:ind w:left="1080" w:hanging="720"/>
      </w:pPr>
      <w:rPr>
        <w:rFonts w:ascii="Tahoma" w:eastAsiaTheme="minorHAns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A8D"/>
    <w:rsid w:val="00000F2B"/>
    <w:rsid w:val="00020062"/>
    <w:rsid w:val="0010078D"/>
    <w:rsid w:val="001C05F8"/>
    <w:rsid w:val="00321EF3"/>
    <w:rsid w:val="003D202C"/>
    <w:rsid w:val="003D3578"/>
    <w:rsid w:val="00427B34"/>
    <w:rsid w:val="004857F3"/>
    <w:rsid w:val="004F41F7"/>
    <w:rsid w:val="00571CD6"/>
    <w:rsid w:val="005D4939"/>
    <w:rsid w:val="005F6979"/>
    <w:rsid w:val="006323E0"/>
    <w:rsid w:val="00632553"/>
    <w:rsid w:val="00650FB4"/>
    <w:rsid w:val="006A579E"/>
    <w:rsid w:val="006B3DAB"/>
    <w:rsid w:val="006B6455"/>
    <w:rsid w:val="00724F57"/>
    <w:rsid w:val="007251E2"/>
    <w:rsid w:val="00752E64"/>
    <w:rsid w:val="00806D15"/>
    <w:rsid w:val="0084094C"/>
    <w:rsid w:val="00866735"/>
    <w:rsid w:val="008B5CA4"/>
    <w:rsid w:val="008D1B78"/>
    <w:rsid w:val="0092287B"/>
    <w:rsid w:val="00927640"/>
    <w:rsid w:val="0094720F"/>
    <w:rsid w:val="009538C4"/>
    <w:rsid w:val="00972E78"/>
    <w:rsid w:val="00A13C4B"/>
    <w:rsid w:val="00B17582"/>
    <w:rsid w:val="00B60687"/>
    <w:rsid w:val="00BA50A3"/>
    <w:rsid w:val="00C11389"/>
    <w:rsid w:val="00C86D8D"/>
    <w:rsid w:val="00CC41B8"/>
    <w:rsid w:val="00D41C80"/>
    <w:rsid w:val="00DA3488"/>
    <w:rsid w:val="00DD02FC"/>
    <w:rsid w:val="00E662EE"/>
    <w:rsid w:val="00E70D3C"/>
    <w:rsid w:val="00F64660"/>
    <w:rsid w:val="00F77B5D"/>
    <w:rsid w:val="00F93555"/>
    <w:rsid w:val="00FE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7B140"/>
  <w15:chartTrackingRefBased/>
  <w15:docId w15:val="{1AB5B6BF-BE0E-4D04-953F-D83DB1C69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CD6"/>
  </w:style>
  <w:style w:type="paragraph" w:styleId="Footer">
    <w:name w:val="footer"/>
    <w:basedOn w:val="Normal"/>
    <w:link w:val="FooterChar"/>
    <w:uiPriority w:val="99"/>
    <w:unhideWhenUsed/>
    <w:rsid w:val="00571C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CD6"/>
  </w:style>
  <w:style w:type="paragraph" w:styleId="NoSpacing">
    <w:name w:val="No Spacing"/>
    <w:uiPriority w:val="1"/>
    <w:qFormat/>
    <w:rsid w:val="00571CD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72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2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68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FRP theme 2019">
  <a:themeElements>
    <a:clrScheme name="FRP">
      <a:dk1>
        <a:srgbClr val="333F48"/>
      </a:dk1>
      <a:lt1>
        <a:srgbClr val="FFFFFF"/>
      </a:lt1>
      <a:dk2>
        <a:srgbClr val="333F48"/>
      </a:dk2>
      <a:lt2>
        <a:srgbClr val="FFFFFF"/>
      </a:lt2>
      <a:accent1>
        <a:srgbClr val="333F48"/>
      </a:accent1>
      <a:accent2>
        <a:srgbClr val="676978"/>
      </a:accent2>
      <a:accent3>
        <a:srgbClr val="718DA7"/>
      </a:accent3>
      <a:accent4>
        <a:srgbClr val="A09373"/>
      </a:accent4>
      <a:accent5>
        <a:srgbClr val="33D9B2"/>
      </a:accent5>
      <a:accent6>
        <a:srgbClr val="FFC500"/>
      </a:accent6>
      <a:hlink>
        <a:srgbClr val="33D9B2"/>
      </a:hlink>
      <a:folHlink>
        <a:srgbClr val="33D9B2"/>
      </a:folHlink>
    </a:clrScheme>
    <a:fontScheme name="FRP Fonts">
      <a:majorFont>
        <a:latin typeface="Graphit"/>
        <a:ea typeface="Tahoma"/>
        <a:cs typeface="Tahoma"/>
      </a:majorFont>
      <a:minorFont>
        <a:latin typeface="Tahoma"/>
        <a:ea typeface="Tahoma"/>
        <a:cs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gray">
        <a:solidFill>
          <a:schemeClr val="accent4">
            <a:lumMod val="20000"/>
            <a:lumOff val="80000"/>
          </a:schemeClr>
        </a:solidFill>
        <a:ln w="6350">
          <a:solidFill>
            <a:schemeClr val="bg1">
              <a:lumMod val="75000"/>
            </a:schemeClr>
          </a:solidFill>
          <a:prstDash val="solid"/>
        </a:ln>
      </a:spPr>
      <a:bodyPr wrap="square" lIns="36000" tIns="36000" rIns="36000" bIns="36000" rtlCol="0" anchor="ctr">
        <a:spAutoFit/>
      </a:bodyPr>
      <a:lstStyle>
        <a:defPPr marL="171450" indent="-171450" algn="l" fontAlgn="base">
          <a:buClr>
            <a:schemeClr val="accent5"/>
          </a:buClr>
          <a:buFont typeface="Wingdings" panose="05000000000000000000" pitchFamily="2" charset="2"/>
          <a:buChar char="§"/>
          <a:defRPr sz="900" kern="0" dirty="0"/>
        </a:defPPr>
      </a:lstStyle>
    </a:txDef>
  </a:objectDefaults>
  <a:extraClrSchemeLst/>
  <a:extLst>
    <a:ext uri="{05A4C25C-085E-4340-85A3-A5531E510DB2}">
      <thm15:themeFamily xmlns:thm15="http://schemas.microsoft.com/office/thememl/2012/main" name="New FRP Template 281019" id="{CC1063D3-D19C-42FB-BFD3-D483AB5277FB}" vid="{17760D45-914C-44A0-B160-6089AE0802F0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72D4B58CAE254C88526BBF15D8B45F" ma:contentTypeVersion="7" ma:contentTypeDescription="Create a new document." ma:contentTypeScope="" ma:versionID="b165e965a9fa0ea9651a9b48e571b1c5">
  <xsd:schema xmlns:xsd="http://www.w3.org/2001/XMLSchema" xmlns:xs="http://www.w3.org/2001/XMLSchema" xmlns:p="http://schemas.microsoft.com/office/2006/metadata/properties" xmlns:ns3="eda07e62-f056-4706-ab40-64aaf2c7949b" xmlns:ns4="455e1e66-59aa-4c1f-b2e0-19d837f0bc98" targetNamespace="http://schemas.microsoft.com/office/2006/metadata/properties" ma:root="true" ma:fieldsID="f4cee602226563a8ac3d2525a15bc284" ns3:_="" ns4:_="">
    <xsd:import namespace="eda07e62-f056-4706-ab40-64aaf2c7949b"/>
    <xsd:import namespace="455e1e66-59aa-4c1f-b2e0-19d837f0bc9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a07e62-f056-4706-ab40-64aaf2c794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e1e66-59aa-4c1f-b2e0-19d837f0b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E6A32F-61E9-4625-93DD-066DEF6C3A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a07e62-f056-4706-ab40-64aaf2c7949b"/>
    <ds:schemaRef ds:uri="455e1e66-59aa-4c1f-b2e0-19d837f0b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7F8113-792F-4F14-8FAA-D7815CAD8B8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2D5120-393C-440A-914E-B354079BFF4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Norman</dc:creator>
  <cp:keywords/>
  <dc:description/>
  <cp:lastModifiedBy>Jack Stanley</cp:lastModifiedBy>
  <cp:revision>2</cp:revision>
  <cp:lastPrinted>2020-04-17T09:42:00Z</cp:lastPrinted>
  <dcterms:created xsi:type="dcterms:W3CDTF">2020-04-17T10:12:00Z</dcterms:created>
  <dcterms:modified xsi:type="dcterms:W3CDTF">2020-04-17T10:12:00Z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0x010100D572D4B58CAE254C88526BBF15D8B45F</vt:lpwstr>
  </property>
</Properties>
</file>