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992D0" w14:textId="3E95B082" w:rsidR="00321EF3" w:rsidRDefault="00C70BDF">
      <w:pPr>
        <w:rPr>
          <w:rFonts w:ascii="Tahoma" w:hAnsi="Tahoma" w:cs="Tahoma"/>
          <w:color w:val="333F48"/>
          <w:sz w:val="36"/>
          <w:szCs w:val="40"/>
        </w:rPr>
      </w:pPr>
      <w:r w:rsidRPr="00C70BDF">
        <w:rPr>
          <w:rFonts w:ascii="Tahoma" w:hAnsi="Tahoma" w:cs="Tahoma"/>
          <w:color w:val="333F48"/>
          <w:sz w:val="36"/>
          <w:szCs w:val="40"/>
        </w:rPr>
        <w:t xml:space="preserve">Recovery </w:t>
      </w:r>
      <w:r w:rsidR="00AA5C41">
        <w:rPr>
          <w:rFonts w:ascii="Tahoma" w:hAnsi="Tahoma" w:cs="Tahoma"/>
          <w:color w:val="333F48"/>
          <w:sz w:val="36"/>
          <w:szCs w:val="40"/>
        </w:rPr>
        <w:t>l</w:t>
      </w:r>
      <w:r w:rsidRPr="00C70BDF">
        <w:rPr>
          <w:rFonts w:ascii="Tahoma" w:hAnsi="Tahoma" w:cs="Tahoma"/>
          <w:color w:val="333F48"/>
          <w:sz w:val="36"/>
          <w:szCs w:val="40"/>
        </w:rPr>
        <w:t xml:space="preserve">oan </w:t>
      </w:r>
      <w:r w:rsidR="00AA5C41">
        <w:rPr>
          <w:rFonts w:ascii="Tahoma" w:hAnsi="Tahoma" w:cs="Tahoma"/>
          <w:color w:val="333F48"/>
          <w:sz w:val="36"/>
          <w:szCs w:val="40"/>
        </w:rPr>
        <w:t>s</w:t>
      </w:r>
      <w:r w:rsidRPr="00C70BDF">
        <w:rPr>
          <w:rFonts w:ascii="Tahoma" w:hAnsi="Tahoma" w:cs="Tahoma"/>
          <w:color w:val="333F48"/>
          <w:sz w:val="36"/>
          <w:szCs w:val="40"/>
        </w:rPr>
        <w:t>cheme: lending applications</w:t>
      </w:r>
    </w:p>
    <w:p w14:paraId="5D4E1D8E" w14:textId="7C9AFB90" w:rsidR="00B60687" w:rsidRPr="00321EF3" w:rsidRDefault="00FE0A8D">
      <w:pPr>
        <w:rPr>
          <w:rFonts w:ascii="Tahoma" w:hAnsi="Tahoma" w:cs="Tahoma"/>
          <w:color w:val="718DA7" w:themeColor="accent3"/>
          <w:sz w:val="28"/>
          <w:szCs w:val="32"/>
        </w:rPr>
      </w:pPr>
      <w:r w:rsidRPr="00321EF3">
        <w:rPr>
          <w:rFonts w:ascii="Tahoma" w:hAnsi="Tahoma" w:cs="Tahoma"/>
          <w:color w:val="718DA7" w:themeColor="accent3"/>
          <w:sz w:val="28"/>
          <w:szCs w:val="32"/>
        </w:rPr>
        <w:t xml:space="preserve">Information </w:t>
      </w:r>
      <w:r w:rsidR="00321EF3" w:rsidRPr="00321EF3">
        <w:rPr>
          <w:rFonts w:ascii="Tahoma" w:hAnsi="Tahoma" w:cs="Tahoma"/>
          <w:color w:val="718DA7" w:themeColor="accent3"/>
          <w:sz w:val="28"/>
          <w:szCs w:val="32"/>
        </w:rPr>
        <w:t xml:space="preserve">checklist to </w:t>
      </w:r>
      <w:r w:rsidRPr="00321EF3">
        <w:rPr>
          <w:rFonts w:ascii="Tahoma" w:hAnsi="Tahoma" w:cs="Tahoma"/>
          <w:color w:val="718DA7" w:themeColor="accent3"/>
          <w:sz w:val="28"/>
          <w:szCs w:val="32"/>
        </w:rPr>
        <w:t>review</w:t>
      </w:r>
      <w:r w:rsidR="00321EF3" w:rsidRPr="00321EF3">
        <w:rPr>
          <w:rFonts w:ascii="Tahoma" w:hAnsi="Tahoma" w:cs="Tahoma"/>
          <w:color w:val="718DA7" w:themeColor="accent3"/>
          <w:sz w:val="28"/>
          <w:szCs w:val="32"/>
        </w:rPr>
        <w:t xml:space="preserve"> to support applications</w:t>
      </w:r>
      <w:r w:rsidRPr="00321EF3">
        <w:rPr>
          <w:rFonts w:ascii="Tahoma" w:hAnsi="Tahoma" w:cs="Tahoma"/>
          <w:color w:val="718DA7" w:themeColor="accent3"/>
          <w:sz w:val="28"/>
          <w:szCs w:val="32"/>
        </w:rPr>
        <w:t xml:space="preserve"> </w:t>
      </w:r>
    </w:p>
    <w:p w14:paraId="18D0A7BB" w14:textId="77777777" w:rsidR="00571CD6" w:rsidRPr="00C11389" w:rsidRDefault="00571CD6" w:rsidP="00571CD6">
      <w:pPr>
        <w:pStyle w:val="NoSpacing"/>
      </w:pPr>
    </w:p>
    <w:tbl>
      <w:tblPr>
        <w:tblW w:w="10220" w:type="dxa"/>
        <w:tblLayout w:type="fixed"/>
        <w:tblLook w:val="04A0" w:firstRow="1" w:lastRow="0" w:firstColumn="1" w:lastColumn="0" w:noHBand="0" w:noVBand="1"/>
      </w:tblPr>
      <w:tblGrid>
        <w:gridCol w:w="566"/>
        <w:gridCol w:w="6517"/>
        <w:gridCol w:w="3137"/>
      </w:tblGrid>
      <w:tr w:rsidR="00DD02FC" w:rsidRPr="00FE0A8D" w14:paraId="68665F5B" w14:textId="77777777" w:rsidTr="00DD02FC">
        <w:trPr>
          <w:trHeight w:val="255"/>
        </w:trPr>
        <w:tc>
          <w:tcPr>
            <w:tcW w:w="566" w:type="dxa"/>
            <w:tcBorders>
              <w:top w:val="single" w:sz="4" w:space="0" w:color="333F48"/>
              <w:left w:val="single" w:sz="4" w:space="0" w:color="333F48"/>
              <w:bottom w:val="single" w:sz="4" w:space="0" w:color="676978" w:themeColor="accent2"/>
              <w:right w:val="nil"/>
            </w:tcBorders>
            <w:shd w:val="clear" w:color="auto" w:fill="686B79"/>
            <w:noWrap/>
            <w:vAlign w:val="center"/>
            <w:hideMark/>
          </w:tcPr>
          <w:p w14:paraId="17BF6DEE" w14:textId="77777777" w:rsidR="00DD02FC" w:rsidRPr="00FE0A8D" w:rsidRDefault="00DD02FC" w:rsidP="00DD02FC">
            <w:pPr>
              <w:spacing w:before="80" w:after="80" w:line="240" w:lineRule="auto"/>
              <w:rPr>
                <w:rFonts w:ascii="Tahoma" w:eastAsia="Times New Roman" w:hAnsi="Tahoma" w:cs="Tahoma"/>
                <w:b/>
                <w:bCs/>
                <w:color w:val="FFFFFF"/>
                <w:sz w:val="20"/>
                <w:szCs w:val="20"/>
                <w:lang w:eastAsia="en-GB"/>
              </w:rPr>
            </w:pPr>
            <w:r w:rsidRPr="00FE0A8D">
              <w:rPr>
                <w:rFonts w:ascii="Tahoma" w:eastAsia="Times New Roman" w:hAnsi="Tahoma" w:cs="Tahoma"/>
                <w:b/>
                <w:bCs/>
                <w:color w:val="FFFFFF"/>
                <w:sz w:val="20"/>
                <w:szCs w:val="20"/>
                <w:lang w:eastAsia="en-GB"/>
              </w:rPr>
              <w:t> </w:t>
            </w:r>
          </w:p>
        </w:tc>
        <w:tc>
          <w:tcPr>
            <w:tcW w:w="6517" w:type="dxa"/>
            <w:tcBorders>
              <w:top w:val="single" w:sz="4" w:space="0" w:color="333F48"/>
              <w:left w:val="nil"/>
              <w:bottom w:val="single" w:sz="4" w:space="0" w:color="676978" w:themeColor="accent2"/>
              <w:right w:val="nil"/>
            </w:tcBorders>
            <w:shd w:val="clear" w:color="auto" w:fill="686B79"/>
            <w:noWrap/>
            <w:vAlign w:val="center"/>
            <w:hideMark/>
          </w:tcPr>
          <w:p w14:paraId="25E8F165" w14:textId="77777777" w:rsidR="00DD02FC" w:rsidRPr="00C11389" w:rsidRDefault="00DD02FC" w:rsidP="00DD02FC">
            <w:pPr>
              <w:spacing w:before="80" w:after="80" w:line="240" w:lineRule="auto"/>
              <w:rPr>
                <w:rFonts w:ascii="Tahoma" w:eastAsia="Times New Roman" w:hAnsi="Tahoma" w:cs="Tahoma"/>
                <w:color w:val="FFFFFF"/>
                <w:sz w:val="28"/>
                <w:szCs w:val="28"/>
                <w:lang w:eastAsia="en-GB"/>
              </w:rPr>
            </w:pPr>
            <w:r w:rsidRPr="00C11389">
              <w:rPr>
                <w:rFonts w:ascii="Tahoma" w:eastAsia="Times New Roman" w:hAnsi="Tahoma" w:cs="Tahoma"/>
                <w:color w:val="FFFFFF"/>
                <w:sz w:val="28"/>
                <w:szCs w:val="28"/>
                <w:lang w:eastAsia="en-GB"/>
              </w:rPr>
              <w:t>Information</w:t>
            </w:r>
          </w:p>
        </w:tc>
        <w:tc>
          <w:tcPr>
            <w:tcW w:w="3137" w:type="dxa"/>
            <w:tcBorders>
              <w:top w:val="single" w:sz="4" w:space="0" w:color="333F48"/>
              <w:left w:val="nil"/>
              <w:bottom w:val="single" w:sz="4" w:space="0" w:color="676978" w:themeColor="accent2"/>
              <w:right w:val="single" w:sz="4" w:space="0" w:color="333F48"/>
            </w:tcBorders>
            <w:shd w:val="clear" w:color="auto" w:fill="686B79"/>
            <w:noWrap/>
            <w:vAlign w:val="center"/>
            <w:hideMark/>
          </w:tcPr>
          <w:p w14:paraId="24C30367" w14:textId="77777777" w:rsidR="00DD02FC" w:rsidRPr="00C11389" w:rsidRDefault="00DD02FC" w:rsidP="00DD02FC">
            <w:pPr>
              <w:spacing w:before="80" w:after="80" w:line="240" w:lineRule="auto"/>
              <w:rPr>
                <w:rFonts w:ascii="Tahoma" w:eastAsia="Times New Roman" w:hAnsi="Tahoma" w:cs="Tahoma"/>
                <w:color w:val="FFFFFF"/>
                <w:sz w:val="28"/>
                <w:szCs w:val="28"/>
                <w:lang w:eastAsia="en-GB"/>
              </w:rPr>
            </w:pPr>
            <w:r w:rsidRPr="00C11389">
              <w:rPr>
                <w:rFonts w:ascii="Tahoma" w:eastAsia="Times New Roman" w:hAnsi="Tahoma" w:cs="Tahoma"/>
                <w:color w:val="FFFFFF"/>
                <w:sz w:val="28"/>
                <w:szCs w:val="28"/>
                <w:lang w:eastAsia="en-GB"/>
              </w:rPr>
              <w:t>Comment</w:t>
            </w:r>
          </w:p>
        </w:tc>
      </w:tr>
      <w:tr w:rsidR="00DD02FC" w:rsidRPr="00FE0A8D" w14:paraId="7CE4673A" w14:textId="77777777" w:rsidTr="00DD02FC">
        <w:trPr>
          <w:trHeight w:val="454"/>
        </w:trPr>
        <w:tc>
          <w:tcPr>
            <w:tcW w:w="566" w:type="dxa"/>
            <w:tcBorders>
              <w:top w:val="single" w:sz="4" w:space="0" w:color="676978" w:themeColor="accent2"/>
              <w:left w:val="single" w:sz="4" w:space="0" w:color="676978" w:themeColor="accent2"/>
              <w:bottom w:val="single" w:sz="4" w:space="0" w:color="676978" w:themeColor="accent2"/>
              <w:right w:val="nil"/>
            </w:tcBorders>
            <w:shd w:val="clear" w:color="auto" w:fill="C6D1DB" w:themeFill="accent3" w:themeFillTint="66"/>
            <w:noWrap/>
            <w:vAlign w:val="center"/>
            <w:hideMark/>
          </w:tcPr>
          <w:p w14:paraId="3A651733" w14:textId="77777777" w:rsidR="00DD02FC" w:rsidRPr="00C11389" w:rsidRDefault="00DD02FC" w:rsidP="00DD02FC">
            <w:pPr>
              <w:spacing w:before="80" w:after="80" w:line="240" w:lineRule="auto"/>
              <w:rPr>
                <w:rFonts w:ascii="Tahoma" w:eastAsia="Times New Roman" w:hAnsi="Tahoma" w:cs="Tahoma"/>
                <w:b/>
                <w:bCs/>
                <w:color w:val="333F48"/>
                <w:sz w:val="18"/>
                <w:szCs w:val="18"/>
                <w:lang w:eastAsia="en-GB"/>
              </w:rPr>
            </w:pPr>
            <w:r w:rsidRPr="00C11389">
              <w:rPr>
                <w:rFonts w:ascii="Tahoma" w:eastAsia="Times New Roman" w:hAnsi="Tahoma" w:cs="Tahoma"/>
                <w:b/>
                <w:bCs/>
                <w:color w:val="333F48"/>
                <w:sz w:val="18"/>
                <w:szCs w:val="18"/>
                <w:lang w:eastAsia="en-GB"/>
              </w:rPr>
              <w:t>1</w:t>
            </w:r>
          </w:p>
        </w:tc>
        <w:tc>
          <w:tcPr>
            <w:tcW w:w="6517" w:type="dxa"/>
            <w:tcBorders>
              <w:top w:val="single" w:sz="4" w:space="0" w:color="676978" w:themeColor="accent2"/>
              <w:left w:val="nil"/>
              <w:bottom w:val="single" w:sz="4" w:space="0" w:color="676978" w:themeColor="accent2"/>
              <w:right w:val="nil"/>
            </w:tcBorders>
            <w:shd w:val="clear" w:color="auto" w:fill="C6D1DB" w:themeFill="accent3" w:themeFillTint="66"/>
            <w:noWrap/>
            <w:vAlign w:val="center"/>
            <w:hideMark/>
          </w:tcPr>
          <w:p w14:paraId="5337E401" w14:textId="77777777" w:rsidR="00DD02FC" w:rsidRPr="00C11389" w:rsidRDefault="00DD02FC" w:rsidP="00DD02FC">
            <w:pPr>
              <w:spacing w:before="80" w:after="80" w:line="240" w:lineRule="auto"/>
              <w:rPr>
                <w:rFonts w:ascii="Tahoma" w:eastAsia="Times New Roman" w:hAnsi="Tahoma" w:cs="Tahoma"/>
                <w:b/>
                <w:bCs/>
                <w:color w:val="333F48"/>
                <w:sz w:val="20"/>
                <w:szCs w:val="20"/>
                <w:lang w:eastAsia="en-GB"/>
              </w:rPr>
            </w:pPr>
            <w:r w:rsidRPr="00C11389">
              <w:rPr>
                <w:rFonts w:ascii="Tahoma" w:eastAsia="Times New Roman" w:hAnsi="Tahoma" w:cs="Tahoma"/>
                <w:b/>
                <w:bCs/>
                <w:color w:val="333F48"/>
                <w:sz w:val="20"/>
                <w:szCs w:val="20"/>
                <w:lang w:eastAsia="en-GB"/>
              </w:rPr>
              <w:t>General</w:t>
            </w:r>
          </w:p>
        </w:tc>
        <w:tc>
          <w:tcPr>
            <w:tcW w:w="3137" w:type="dxa"/>
            <w:tcBorders>
              <w:top w:val="single" w:sz="4" w:space="0" w:color="676978" w:themeColor="accent2"/>
              <w:left w:val="nil"/>
              <w:bottom w:val="single" w:sz="4" w:space="0" w:color="676978" w:themeColor="accent2"/>
              <w:right w:val="single" w:sz="4" w:space="0" w:color="676978" w:themeColor="accent2"/>
            </w:tcBorders>
            <w:shd w:val="clear" w:color="auto" w:fill="C6D1DB" w:themeFill="accent3" w:themeFillTint="66"/>
            <w:noWrap/>
            <w:vAlign w:val="center"/>
            <w:hideMark/>
          </w:tcPr>
          <w:p w14:paraId="16595A28" w14:textId="77777777" w:rsidR="00DD02FC" w:rsidRPr="00FE0A8D" w:rsidRDefault="00DD02FC" w:rsidP="00DD02FC">
            <w:pPr>
              <w:spacing w:before="80" w:after="80" w:line="240" w:lineRule="auto"/>
              <w:rPr>
                <w:rFonts w:ascii="Tahoma" w:eastAsia="Times New Roman" w:hAnsi="Tahoma" w:cs="Tahoma"/>
                <w:b/>
                <w:bCs/>
                <w:color w:val="333F48"/>
                <w:sz w:val="18"/>
                <w:szCs w:val="18"/>
                <w:lang w:eastAsia="en-GB"/>
              </w:rPr>
            </w:pPr>
            <w:r w:rsidRPr="00FE0A8D">
              <w:rPr>
                <w:rFonts w:ascii="Tahoma" w:eastAsia="Times New Roman" w:hAnsi="Tahoma" w:cs="Tahoma"/>
                <w:b/>
                <w:bCs/>
                <w:color w:val="333F48"/>
                <w:sz w:val="18"/>
                <w:szCs w:val="18"/>
                <w:lang w:eastAsia="en-GB"/>
              </w:rPr>
              <w:t> </w:t>
            </w:r>
          </w:p>
        </w:tc>
      </w:tr>
      <w:tr w:rsidR="00DD02FC" w:rsidRPr="00FE0A8D" w14:paraId="5E139009" w14:textId="77777777" w:rsidTr="00DD02FC">
        <w:trPr>
          <w:trHeight w:val="255"/>
        </w:trPr>
        <w:tc>
          <w:tcPr>
            <w:tcW w:w="566" w:type="dxa"/>
            <w:tcBorders>
              <w:top w:val="single" w:sz="4" w:space="0" w:color="676978" w:themeColor="accent2"/>
              <w:left w:val="single" w:sz="4" w:space="0" w:color="676978" w:themeColor="accent2"/>
              <w:bottom w:val="dashed" w:sz="4" w:space="0" w:color="A09373" w:themeColor="accent4"/>
              <w:right w:val="dashed" w:sz="4" w:space="0" w:color="A09373" w:themeColor="accent4"/>
            </w:tcBorders>
            <w:shd w:val="clear" w:color="auto" w:fill="auto"/>
            <w:noWrap/>
            <w:hideMark/>
          </w:tcPr>
          <w:p w14:paraId="61590CD6"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1.1</w:t>
            </w:r>
          </w:p>
        </w:tc>
        <w:tc>
          <w:tcPr>
            <w:tcW w:w="6517" w:type="dxa"/>
            <w:tcBorders>
              <w:top w:val="single" w:sz="4" w:space="0" w:color="676978" w:themeColor="accent2"/>
              <w:left w:val="dashed" w:sz="4" w:space="0" w:color="A09373" w:themeColor="accent4"/>
              <w:bottom w:val="dashed" w:sz="4" w:space="0" w:color="A09373" w:themeColor="accent4"/>
              <w:right w:val="dashed" w:sz="4" w:space="0" w:color="A09373" w:themeColor="accent4"/>
            </w:tcBorders>
            <w:shd w:val="clear" w:color="auto" w:fill="auto"/>
            <w:vAlign w:val="center"/>
            <w:hideMark/>
          </w:tcPr>
          <w:p w14:paraId="50189DAB" w14:textId="77777777" w:rsidR="00DD02FC"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Ownership structure of the borrowing entity and details of any subsidiaries, and the ultimate parent undertaking</w:t>
            </w:r>
          </w:p>
          <w:p w14:paraId="304E55D2" w14:textId="50D9D6F7" w:rsidR="00DD02FC" w:rsidRPr="00FE0A8D" w:rsidRDefault="00DD02FC" w:rsidP="00DD02FC">
            <w:pPr>
              <w:spacing w:before="80" w:after="80" w:line="240" w:lineRule="auto"/>
              <w:rPr>
                <w:rFonts w:ascii="Tahoma" w:eastAsia="Times New Roman" w:hAnsi="Tahoma" w:cs="Tahoma"/>
                <w:color w:val="333F48"/>
                <w:sz w:val="18"/>
                <w:szCs w:val="18"/>
                <w:lang w:eastAsia="en-GB"/>
              </w:rPr>
            </w:pPr>
          </w:p>
        </w:tc>
        <w:tc>
          <w:tcPr>
            <w:tcW w:w="3137" w:type="dxa"/>
            <w:tcBorders>
              <w:top w:val="single" w:sz="4" w:space="0" w:color="676978" w:themeColor="accent2"/>
              <w:left w:val="dashed" w:sz="4" w:space="0" w:color="A09373" w:themeColor="accent4"/>
              <w:bottom w:val="dashed" w:sz="4" w:space="0" w:color="A09373" w:themeColor="accent4"/>
              <w:right w:val="single" w:sz="4" w:space="0" w:color="676978" w:themeColor="accent2"/>
            </w:tcBorders>
            <w:shd w:val="clear" w:color="auto" w:fill="auto"/>
            <w:vAlign w:val="center"/>
            <w:hideMark/>
          </w:tcPr>
          <w:p w14:paraId="37915917"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5E6B0EB8" w14:textId="77777777" w:rsidTr="00DD02FC">
        <w:trPr>
          <w:trHeight w:val="450"/>
        </w:trPr>
        <w:tc>
          <w:tcPr>
            <w:tcW w:w="566" w:type="dxa"/>
            <w:tcBorders>
              <w:top w:val="dashed" w:sz="4" w:space="0" w:color="A09373" w:themeColor="accent4"/>
              <w:left w:val="single" w:sz="4" w:space="0" w:color="676978" w:themeColor="accent2"/>
              <w:bottom w:val="dashed" w:sz="4" w:space="0" w:color="A09373" w:themeColor="accent4"/>
              <w:right w:val="dashed" w:sz="4" w:space="0" w:color="A09373" w:themeColor="accent4"/>
            </w:tcBorders>
            <w:shd w:val="clear" w:color="auto" w:fill="auto"/>
            <w:noWrap/>
            <w:hideMark/>
          </w:tcPr>
          <w:p w14:paraId="2F898A74"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1.2</w:t>
            </w:r>
          </w:p>
        </w:tc>
        <w:tc>
          <w:tcPr>
            <w:tcW w:w="6517" w:type="dxa"/>
            <w:tcBorders>
              <w:top w:val="dashed" w:sz="4" w:space="0" w:color="A09373" w:themeColor="accent4"/>
              <w:left w:val="dashed" w:sz="4" w:space="0" w:color="A09373" w:themeColor="accent4"/>
              <w:bottom w:val="dashed" w:sz="4" w:space="0" w:color="A09373" w:themeColor="accent4"/>
              <w:right w:val="dashed" w:sz="4" w:space="0" w:color="A09373" w:themeColor="accent4"/>
            </w:tcBorders>
            <w:shd w:val="clear" w:color="auto" w:fill="auto"/>
            <w:vAlign w:val="center"/>
            <w:hideMark/>
          </w:tcPr>
          <w:p w14:paraId="5FA31172" w14:textId="5A6CFD29" w:rsidR="00DD02FC"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xml:space="preserve">Schedule of all banking facilities including facility level, current utilisation and terms. </w:t>
            </w:r>
          </w:p>
          <w:p w14:paraId="4A914E2B" w14:textId="5B657E17" w:rsidR="00DD02FC" w:rsidRPr="00FE0A8D" w:rsidRDefault="00DD02FC" w:rsidP="00DD02FC">
            <w:pPr>
              <w:spacing w:before="80" w:after="80" w:line="240" w:lineRule="auto"/>
              <w:rPr>
                <w:rFonts w:ascii="Tahoma" w:eastAsia="Times New Roman" w:hAnsi="Tahoma" w:cs="Tahoma"/>
                <w:color w:val="333F48"/>
                <w:sz w:val="18"/>
                <w:szCs w:val="18"/>
                <w:lang w:eastAsia="en-GB"/>
              </w:rPr>
            </w:pPr>
          </w:p>
        </w:tc>
        <w:tc>
          <w:tcPr>
            <w:tcW w:w="3137" w:type="dxa"/>
            <w:tcBorders>
              <w:top w:val="dashed" w:sz="4" w:space="0" w:color="A09373" w:themeColor="accent4"/>
              <w:left w:val="dashed" w:sz="4" w:space="0" w:color="A09373" w:themeColor="accent4"/>
              <w:bottom w:val="dashed" w:sz="4" w:space="0" w:color="A09373" w:themeColor="accent4"/>
              <w:right w:val="single" w:sz="4" w:space="0" w:color="676978" w:themeColor="accent2"/>
            </w:tcBorders>
            <w:shd w:val="clear" w:color="auto" w:fill="auto"/>
            <w:vAlign w:val="center"/>
            <w:hideMark/>
          </w:tcPr>
          <w:p w14:paraId="55955F04"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77744003" w14:textId="77777777" w:rsidTr="00DD02FC">
        <w:trPr>
          <w:trHeight w:val="54"/>
        </w:trPr>
        <w:tc>
          <w:tcPr>
            <w:tcW w:w="566" w:type="dxa"/>
            <w:tcBorders>
              <w:top w:val="dashed" w:sz="4" w:space="0" w:color="A09373" w:themeColor="accent4"/>
              <w:left w:val="single" w:sz="4" w:space="0" w:color="676978" w:themeColor="accent2"/>
              <w:bottom w:val="single" w:sz="4" w:space="0" w:color="676978" w:themeColor="accent2"/>
              <w:right w:val="dashed" w:sz="4" w:space="0" w:color="A09373" w:themeColor="accent4"/>
            </w:tcBorders>
            <w:shd w:val="clear" w:color="auto" w:fill="auto"/>
            <w:noWrap/>
            <w:hideMark/>
          </w:tcPr>
          <w:p w14:paraId="4C2082C2"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1.3</w:t>
            </w:r>
          </w:p>
        </w:tc>
        <w:tc>
          <w:tcPr>
            <w:tcW w:w="6517" w:type="dxa"/>
            <w:tcBorders>
              <w:top w:val="dashed" w:sz="4" w:space="0" w:color="A09373" w:themeColor="accent4"/>
              <w:left w:val="dashed" w:sz="4" w:space="0" w:color="A09373" w:themeColor="accent4"/>
              <w:bottom w:val="single" w:sz="4" w:space="0" w:color="676978" w:themeColor="accent2"/>
              <w:right w:val="dashed" w:sz="4" w:space="0" w:color="A09373" w:themeColor="accent4"/>
            </w:tcBorders>
            <w:shd w:val="clear" w:color="auto" w:fill="auto"/>
            <w:vAlign w:val="center"/>
            <w:hideMark/>
          </w:tcPr>
          <w:p w14:paraId="1645251F"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Where applicable, covenant terms and definitions together with historical calculations (if available) for the previous two financial years and the YTD (including Management's calculation of covenants, and add-backs to EBITDA)</w:t>
            </w:r>
          </w:p>
        </w:tc>
        <w:tc>
          <w:tcPr>
            <w:tcW w:w="3137" w:type="dxa"/>
            <w:tcBorders>
              <w:top w:val="dashed" w:sz="4" w:space="0" w:color="A09373" w:themeColor="accent4"/>
              <w:left w:val="dashed" w:sz="4" w:space="0" w:color="A09373" w:themeColor="accent4"/>
              <w:bottom w:val="single" w:sz="4" w:space="0" w:color="676978" w:themeColor="accent2"/>
              <w:right w:val="single" w:sz="4" w:space="0" w:color="676978" w:themeColor="accent2"/>
            </w:tcBorders>
            <w:shd w:val="clear" w:color="auto" w:fill="auto"/>
            <w:vAlign w:val="center"/>
            <w:hideMark/>
          </w:tcPr>
          <w:p w14:paraId="2671D139"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6EF145D2" w14:textId="77777777" w:rsidTr="00DD02FC">
        <w:trPr>
          <w:trHeight w:val="624"/>
        </w:trPr>
        <w:tc>
          <w:tcPr>
            <w:tcW w:w="566" w:type="dxa"/>
            <w:tcBorders>
              <w:top w:val="single" w:sz="4" w:space="0" w:color="676978" w:themeColor="accent2"/>
              <w:left w:val="single" w:sz="4" w:space="0" w:color="676978" w:themeColor="accent2"/>
              <w:bottom w:val="single" w:sz="4" w:space="0" w:color="676978" w:themeColor="accent2"/>
              <w:right w:val="nil"/>
            </w:tcBorders>
            <w:shd w:val="clear" w:color="auto" w:fill="C6D1DB" w:themeFill="accent3" w:themeFillTint="66"/>
            <w:noWrap/>
            <w:vAlign w:val="center"/>
            <w:hideMark/>
          </w:tcPr>
          <w:p w14:paraId="45351AC6" w14:textId="77777777" w:rsidR="00DD02FC" w:rsidRPr="00C11389" w:rsidRDefault="00DD02FC" w:rsidP="00DD02FC">
            <w:pPr>
              <w:spacing w:before="80" w:after="80" w:line="240" w:lineRule="auto"/>
              <w:rPr>
                <w:rFonts w:ascii="Tahoma" w:eastAsia="Times New Roman" w:hAnsi="Tahoma" w:cs="Tahoma"/>
                <w:b/>
                <w:bCs/>
                <w:color w:val="333F48"/>
                <w:sz w:val="18"/>
                <w:szCs w:val="18"/>
                <w:lang w:eastAsia="en-GB"/>
              </w:rPr>
            </w:pPr>
            <w:r w:rsidRPr="00C11389">
              <w:rPr>
                <w:rFonts w:ascii="Tahoma" w:eastAsia="Times New Roman" w:hAnsi="Tahoma" w:cs="Tahoma"/>
                <w:b/>
                <w:bCs/>
                <w:color w:val="333F48"/>
                <w:sz w:val="18"/>
                <w:szCs w:val="18"/>
                <w:lang w:eastAsia="en-GB"/>
              </w:rPr>
              <w:t>2</w:t>
            </w:r>
          </w:p>
        </w:tc>
        <w:tc>
          <w:tcPr>
            <w:tcW w:w="6517" w:type="dxa"/>
            <w:tcBorders>
              <w:top w:val="single" w:sz="4" w:space="0" w:color="676978" w:themeColor="accent2"/>
              <w:left w:val="nil"/>
              <w:bottom w:val="single" w:sz="4" w:space="0" w:color="676978" w:themeColor="accent2"/>
              <w:right w:val="nil"/>
            </w:tcBorders>
            <w:shd w:val="clear" w:color="auto" w:fill="C6D1DB" w:themeFill="accent3" w:themeFillTint="66"/>
            <w:noWrap/>
            <w:vAlign w:val="center"/>
            <w:hideMark/>
          </w:tcPr>
          <w:p w14:paraId="215101E3" w14:textId="77777777" w:rsidR="00DD02FC" w:rsidRPr="00C11389" w:rsidRDefault="00DD02FC" w:rsidP="00DD02FC">
            <w:pPr>
              <w:spacing w:before="80" w:after="80" w:line="240" w:lineRule="auto"/>
              <w:rPr>
                <w:rFonts w:ascii="Tahoma" w:eastAsia="Times New Roman" w:hAnsi="Tahoma" w:cs="Tahoma"/>
                <w:b/>
                <w:bCs/>
                <w:color w:val="333F48"/>
                <w:sz w:val="18"/>
                <w:szCs w:val="18"/>
                <w:lang w:eastAsia="en-GB"/>
              </w:rPr>
            </w:pPr>
            <w:r w:rsidRPr="00C11389">
              <w:rPr>
                <w:rFonts w:ascii="Tahoma" w:eastAsia="Times New Roman" w:hAnsi="Tahoma" w:cs="Tahoma"/>
                <w:b/>
                <w:bCs/>
                <w:color w:val="333F48"/>
                <w:sz w:val="18"/>
                <w:szCs w:val="18"/>
                <w:lang w:eastAsia="en-GB"/>
              </w:rPr>
              <w:t>Historical financial information for the previous two financial years, and for the Year-to-Date ("YTD")</w:t>
            </w:r>
          </w:p>
        </w:tc>
        <w:tc>
          <w:tcPr>
            <w:tcW w:w="3137" w:type="dxa"/>
            <w:tcBorders>
              <w:top w:val="single" w:sz="4" w:space="0" w:color="676978" w:themeColor="accent2"/>
              <w:left w:val="nil"/>
              <w:bottom w:val="single" w:sz="4" w:space="0" w:color="676978" w:themeColor="accent2"/>
              <w:right w:val="single" w:sz="4" w:space="0" w:color="676978" w:themeColor="accent2"/>
            </w:tcBorders>
            <w:shd w:val="clear" w:color="auto" w:fill="C6D1DB" w:themeFill="accent3" w:themeFillTint="66"/>
            <w:noWrap/>
            <w:vAlign w:val="center"/>
            <w:hideMark/>
          </w:tcPr>
          <w:p w14:paraId="21705ECB"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11179E6F" w14:textId="77777777" w:rsidTr="00DD02FC">
        <w:trPr>
          <w:trHeight w:val="255"/>
        </w:trPr>
        <w:tc>
          <w:tcPr>
            <w:tcW w:w="566" w:type="dxa"/>
            <w:tcBorders>
              <w:top w:val="single" w:sz="4" w:space="0" w:color="676978" w:themeColor="accent2"/>
              <w:left w:val="single" w:sz="4" w:space="0" w:color="676978" w:themeColor="accent2"/>
              <w:bottom w:val="dashed" w:sz="4" w:space="0" w:color="A09373" w:themeColor="accent4"/>
              <w:right w:val="dashed" w:sz="4" w:space="0" w:color="A09373" w:themeColor="accent4"/>
            </w:tcBorders>
            <w:shd w:val="clear" w:color="auto" w:fill="auto"/>
            <w:noWrap/>
            <w:hideMark/>
          </w:tcPr>
          <w:p w14:paraId="39106C58"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2.1</w:t>
            </w:r>
          </w:p>
        </w:tc>
        <w:tc>
          <w:tcPr>
            <w:tcW w:w="6517" w:type="dxa"/>
            <w:tcBorders>
              <w:top w:val="single" w:sz="4" w:space="0" w:color="676978" w:themeColor="accent2"/>
              <w:left w:val="dashed" w:sz="4" w:space="0" w:color="A09373" w:themeColor="accent4"/>
              <w:bottom w:val="dashed" w:sz="4" w:space="0" w:color="A09373" w:themeColor="accent4"/>
              <w:right w:val="dashed" w:sz="4" w:space="0" w:color="A09373" w:themeColor="accent4"/>
            </w:tcBorders>
            <w:shd w:val="clear" w:color="auto" w:fill="auto"/>
            <w:hideMark/>
          </w:tcPr>
          <w:p w14:paraId="0FDA9D3A" w14:textId="77777777" w:rsidR="00DD02FC"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Statutory accounts for the previous two financial years</w:t>
            </w:r>
          </w:p>
          <w:p w14:paraId="46194AE7" w14:textId="0DE11B22" w:rsidR="00DD02FC" w:rsidRPr="00FE0A8D" w:rsidRDefault="00DD02FC" w:rsidP="00DD02FC">
            <w:pPr>
              <w:spacing w:before="80" w:after="80" w:line="240" w:lineRule="auto"/>
              <w:rPr>
                <w:rFonts w:ascii="Tahoma" w:eastAsia="Times New Roman" w:hAnsi="Tahoma" w:cs="Tahoma"/>
                <w:color w:val="333F48"/>
                <w:sz w:val="18"/>
                <w:szCs w:val="18"/>
                <w:lang w:eastAsia="en-GB"/>
              </w:rPr>
            </w:pPr>
          </w:p>
        </w:tc>
        <w:tc>
          <w:tcPr>
            <w:tcW w:w="3137" w:type="dxa"/>
            <w:tcBorders>
              <w:top w:val="single" w:sz="4" w:space="0" w:color="676978" w:themeColor="accent2"/>
              <w:left w:val="dashed" w:sz="4" w:space="0" w:color="A09373" w:themeColor="accent4"/>
              <w:bottom w:val="dashed" w:sz="4" w:space="0" w:color="A09373" w:themeColor="accent4"/>
              <w:right w:val="single" w:sz="4" w:space="0" w:color="676978" w:themeColor="accent2"/>
            </w:tcBorders>
            <w:shd w:val="clear" w:color="auto" w:fill="auto"/>
            <w:hideMark/>
          </w:tcPr>
          <w:p w14:paraId="735B4FF7"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257A5DDD" w14:textId="77777777" w:rsidTr="00DD02FC">
        <w:trPr>
          <w:trHeight w:val="450"/>
        </w:trPr>
        <w:tc>
          <w:tcPr>
            <w:tcW w:w="566" w:type="dxa"/>
            <w:tcBorders>
              <w:top w:val="dashed" w:sz="4" w:space="0" w:color="A09373" w:themeColor="accent4"/>
              <w:left w:val="single" w:sz="4" w:space="0" w:color="676978" w:themeColor="accent2"/>
              <w:bottom w:val="dashed" w:sz="4" w:space="0" w:color="A09373" w:themeColor="accent4"/>
              <w:right w:val="dashed" w:sz="4" w:space="0" w:color="A09373" w:themeColor="accent4"/>
            </w:tcBorders>
            <w:shd w:val="clear" w:color="auto" w:fill="auto"/>
            <w:hideMark/>
          </w:tcPr>
          <w:p w14:paraId="5225CAC9"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2.2</w:t>
            </w:r>
          </w:p>
        </w:tc>
        <w:tc>
          <w:tcPr>
            <w:tcW w:w="6517" w:type="dxa"/>
            <w:tcBorders>
              <w:top w:val="dashed" w:sz="4" w:space="0" w:color="A09373" w:themeColor="accent4"/>
              <w:left w:val="dashed" w:sz="4" w:space="0" w:color="A09373" w:themeColor="accent4"/>
              <w:bottom w:val="dashed" w:sz="4" w:space="0" w:color="A09373" w:themeColor="accent4"/>
              <w:right w:val="dashed" w:sz="4" w:space="0" w:color="A09373" w:themeColor="accent4"/>
            </w:tcBorders>
            <w:shd w:val="clear" w:color="auto" w:fill="auto"/>
            <w:hideMark/>
          </w:tcPr>
          <w:p w14:paraId="1DBFDDD5" w14:textId="77777777" w:rsidR="00DD02FC"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Monthly management accounts, including profit and loss, balance sheet and cash flow for the previous two financial years and YTD</w:t>
            </w:r>
          </w:p>
          <w:p w14:paraId="0EE15F48" w14:textId="50CE848C" w:rsidR="00DD02FC" w:rsidRPr="00FE0A8D" w:rsidRDefault="00DD02FC" w:rsidP="00DD02FC">
            <w:pPr>
              <w:spacing w:before="80" w:after="80" w:line="240" w:lineRule="auto"/>
              <w:rPr>
                <w:rFonts w:ascii="Tahoma" w:eastAsia="Times New Roman" w:hAnsi="Tahoma" w:cs="Tahoma"/>
                <w:color w:val="333F48"/>
                <w:sz w:val="18"/>
                <w:szCs w:val="18"/>
                <w:lang w:eastAsia="en-GB"/>
              </w:rPr>
            </w:pPr>
          </w:p>
        </w:tc>
        <w:tc>
          <w:tcPr>
            <w:tcW w:w="3137" w:type="dxa"/>
            <w:tcBorders>
              <w:top w:val="dashed" w:sz="4" w:space="0" w:color="A09373" w:themeColor="accent4"/>
              <w:left w:val="dashed" w:sz="4" w:space="0" w:color="A09373" w:themeColor="accent4"/>
              <w:bottom w:val="dashed" w:sz="4" w:space="0" w:color="A09373" w:themeColor="accent4"/>
              <w:right w:val="single" w:sz="4" w:space="0" w:color="676978" w:themeColor="accent2"/>
            </w:tcBorders>
            <w:shd w:val="clear" w:color="auto" w:fill="auto"/>
            <w:hideMark/>
          </w:tcPr>
          <w:p w14:paraId="6537B728"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46537EDB" w14:textId="77777777" w:rsidTr="00DD02FC">
        <w:trPr>
          <w:trHeight w:val="450"/>
        </w:trPr>
        <w:tc>
          <w:tcPr>
            <w:tcW w:w="566" w:type="dxa"/>
            <w:tcBorders>
              <w:top w:val="dashed" w:sz="4" w:space="0" w:color="A09373" w:themeColor="accent4"/>
              <w:left w:val="single" w:sz="4" w:space="0" w:color="676978" w:themeColor="accent2"/>
              <w:bottom w:val="dashed" w:sz="4" w:space="0" w:color="A09373" w:themeColor="accent4"/>
              <w:right w:val="dashed" w:sz="4" w:space="0" w:color="A09373" w:themeColor="accent4"/>
            </w:tcBorders>
            <w:shd w:val="clear" w:color="auto" w:fill="auto"/>
            <w:hideMark/>
          </w:tcPr>
          <w:p w14:paraId="626FA313"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2.3</w:t>
            </w:r>
          </w:p>
        </w:tc>
        <w:tc>
          <w:tcPr>
            <w:tcW w:w="6517" w:type="dxa"/>
            <w:tcBorders>
              <w:top w:val="dashed" w:sz="4" w:space="0" w:color="A09373" w:themeColor="accent4"/>
              <w:left w:val="dashed" w:sz="4" w:space="0" w:color="A09373" w:themeColor="accent4"/>
              <w:bottom w:val="dashed" w:sz="4" w:space="0" w:color="A09373" w:themeColor="accent4"/>
              <w:right w:val="dashed" w:sz="4" w:space="0" w:color="A09373" w:themeColor="accent4"/>
            </w:tcBorders>
            <w:shd w:val="clear" w:color="auto" w:fill="auto"/>
            <w:hideMark/>
          </w:tcPr>
          <w:p w14:paraId="6FD00E27"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Schedule of one-off receipts for the previous two financial years and the YTD</w:t>
            </w:r>
          </w:p>
        </w:tc>
        <w:tc>
          <w:tcPr>
            <w:tcW w:w="3137" w:type="dxa"/>
            <w:tcBorders>
              <w:top w:val="dashed" w:sz="4" w:space="0" w:color="A09373" w:themeColor="accent4"/>
              <w:left w:val="dashed" w:sz="4" w:space="0" w:color="A09373" w:themeColor="accent4"/>
              <w:bottom w:val="dashed" w:sz="4" w:space="0" w:color="A09373" w:themeColor="accent4"/>
              <w:right w:val="single" w:sz="4" w:space="0" w:color="676978" w:themeColor="accent2"/>
            </w:tcBorders>
            <w:shd w:val="clear" w:color="auto" w:fill="auto"/>
            <w:hideMark/>
          </w:tcPr>
          <w:p w14:paraId="14135FEB"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Material one-off income items or receipts, such as other operating income, rent deposit receipt, large legal settlement receipt</w:t>
            </w:r>
          </w:p>
        </w:tc>
      </w:tr>
      <w:tr w:rsidR="00DD02FC" w:rsidRPr="00FE0A8D" w14:paraId="326F56AA" w14:textId="77777777" w:rsidTr="00DD02FC">
        <w:trPr>
          <w:trHeight w:val="450"/>
        </w:trPr>
        <w:tc>
          <w:tcPr>
            <w:tcW w:w="566" w:type="dxa"/>
            <w:tcBorders>
              <w:top w:val="dashed" w:sz="4" w:space="0" w:color="A09373" w:themeColor="accent4"/>
              <w:left w:val="single" w:sz="4" w:space="0" w:color="676978" w:themeColor="accent2"/>
              <w:bottom w:val="dashed" w:sz="4" w:space="0" w:color="A09373" w:themeColor="accent4"/>
              <w:right w:val="dashed" w:sz="4" w:space="0" w:color="A09373" w:themeColor="accent4"/>
            </w:tcBorders>
            <w:shd w:val="clear" w:color="auto" w:fill="auto"/>
            <w:hideMark/>
          </w:tcPr>
          <w:p w14:paraId="0C367226"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2.4</w:t>
            </w:r>
          </w:p>
        </w:tc>
        <w:tc>
          <w:tcPr>
            <w:tcW w:w="6517" w:type="dxa"/>
            <w:tcBorders>
              <w:top w:val="dashed" w:sz="4" w:space="0" w:color="A09373" w:themeColor="accent4"/>
              <w:left w:val="dashed" w:sz="4" w:space="0" w:color="A09373" w:themeColor="accent4"/>
              <w:bottom w:val="dashed" w:sz="4" w:space="0" w:color="A09373" w:themeColor="accent4"/>
              <w:right w:val="dashed" w:sz="4" w:space="0" w:color="A09373" w:themeColor="accent4"/>
            </w:tcBorders>
            <w:shd w:val="clear" w:color="auto" w:fill="auto"/>
            <w:hideMark/>
          </w:tcPr>
          <w:p w14:paraId="1FC5E670"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Schedule of one-off costs for the previous two financial years and the YTD</w:t>
            </w:r>
          </w:p>
        </w:tc>
        <w:tc>
          <w:tcPr>
            <w:tcW w:w="3137" w:type="dxa"/>
            <w:tcBorders>
              <w:top w:val="dashed" w:sz="4" w:space="0" w:color="A09373" w:themeColor="accent4"/>
              <w:left w:val="dashed" w:sz="4" w:space="0" w:color="A09373" w:themeColor="accent4"/>
              <w:bottom w:val="dashed" w:sz="4" w:space="0" w:color="A09373" w:themeColor="accent4"/>
              <w:right w:val="single" w:sz="4" w:space="0" w:color="676978" w:themeColor="accent2"/>
            </w:tcBorders>
            <w:shd w:val="clear" w:color="auto" w:fill="auto"/>
            <w:hideMark/>
          </w:tcPr>
          <w:p w14:paraId="7BE2449E"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Material one-off costs, such as capital expenditure, or professional or legal fees not in the normal course of business</w:t>
            </w:r>
          </w:p>
        </w:tc>
      </w:tr>
      <w:tr w:rsidR="00DD02FC" w:rsidRPr="00FE0A8D" w14:paraId="0721179B" w14:textId="77777777" w:rsidTr="00DD02FC">
        <w:trPr>
          <w:trHeight w:val="255"/>
        </w:trPr>
        <w:tc>
          <w:tcPr>
            <w:tcW w:w="566" w:type="dxa"/>
            <w:tcBorders>
              <w:top w:val="dashed" w:sz="4" w:space="0" w:color="A09373" w:themeColor="accent4"/>
              <w:left w:val="single" w:sz="4" w:space="0" w:color="676978" w:themeColor="accent2"/>
              <w:bottom w:val="dashed" w:sz="4" w:space="0" w:color="A09373" w:themeColor="accent4"/>
              <w:right w:val="dashed" w:sz="4" w:space="0" w:color="A09373" w:themeColor="accent4"/>
            </w:tcBorders>
            <w:shd w:val="clear" w:color="auto" w:fill="auto"/>
            <w:hideMark/>
          </w:tcPr>
          <w:p w14:paraId="745C7592"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2.5</w:t>
            </w:r>
          </w:p>
        </w:tc>
        <w:tc>
          <w:tcPr>
            <w:tcW w:w="6517" w:type="dxa"/>
            <w:tcBorders>
              <w:top w:val="dashed" w:sz="4" w:space="0" w:color="A09373" w:themeColor="accent4"/>
              <w:left w:val="dashed" w:sz="4" w:space="0" w:color="A09373" w:themeColor="accent4"/>
              <w:bottom w:val="dashed" w:sz="4" w:space="0" w:color="A09373" w:themeColor="accent4"/>
              <w:right w:val="dashed" w:sz="4" w:space="0" w:color="A09373" w:themeColor="accent4"/>
            </w:tcBorders>
            <w:shd w:val="clear" w:color="auto" w:fill="auto"/>
            <w:hideMark/>
          </w:tcPr>
          <w:p w14:paraId="7EB2ED95" w14:textId="77777777" w:rsidR="00DD02FC"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Details of historical performance against budget for the previous two financial years and the YTD</w:t>
            </w:r>
          </w:p>
          <w:p w14:paraId="1A175CA0" w14:textId="64ADE83A" w:rsidR="00DD02FC" w:rsidRPr="00FE0A8D" w:rsidRDefault="00DD02FC" w:rsidP="00DD02FC">
            <w:pPr>
              <w:spacing w:before="80" w:after="80" w:line="240" w:lineRule="auto"/>
              <w:rPr>
                <w:rFonts w:ascii="Tahoma" w:eastAsia="Times New Roman" w:hAnsi="Tahoma" w:cs="Tahoma"/>
                <w:color w:val="333F48"/>
                <w:sz w:val="18"/>
                <w:szCs w:val="18"/>
                <w:lang w:eastAsia="en-GB"/>
              </w:rPr>
            </w:pPr>
          </w:p>
        </w:tc>
        <w:tc>
          <w:tcPr>
            <w:tcW w:w="3137" w:type="dxa"/>
            <w:tcBorders>
              <w:top w:val="dashed" w:sz="4" w:space="0" w:color="A09373" w:themeColor="accent4"/>
              <w:left w:val="dashed" w:sz="4" w:space="0" w:color="A09373" w:themeColor="accent4"/>
              <w:bottom w:val="dashed" w:sz="4" w:space="0" w:color="A09373" w:themeColor="accent4"/>
              <w:right w:val="single" w:sz="4" w:space="0" w:color="676978" w:themeColor="accent2"/>
            </w:tcBorders>
            <w:shd w:val="clear" w:color="auto" w:fill="auto"/>
            <w:hideMark/>
          </w:tcPr>
          <w:p w14:paraId="49596FC1"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18004A53" w14:textId="77777777" w:rsidTr="00DD02FC">
        <w:trPr>
          <w:trHeight w:val="255"/>
        </w:trPr>
        <w:tc>
          <w:tcPr>
            <w:tcW w:w="566" w:type="dxa"/>
            <w:tcBorders>
              <w:top w:val="dashed" w:sz="4" w:space="0" w:color="A09373" w:themeColor="accent4"/>
              <w:left w:val="single" w:sz="4" w:space="0" w:color="676978" w:themeColor="accent2"/>
              <w:bottom w:val="dashed" w:sz="4" w:space="0" w:color="A09373" w:themeColor="accent4"/>
              <w:right w:val="dashed" w:sz="4" w:space="0" w:color="A09373" w:themeColor="accent4"/>
            </w:tcBorders>
            <w:shd w:val="clear" w:color="auto" w:fill="auto"/>
            <w:hideMark/>
          </w:tcPr>
          <w:p w14:paraId="1B935CA5"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2.6</w:t>
            </w:r>
          </w:p>
        </w:tc>
        <w:tc>
          <w:tcPr>
            <w:tcW w:w="6517" w:type="dxa"/>
            <w:tcBorders>
              <w:top w:val="dashed" w:sz="4" w:space="0" w:color="A09373" w:themeColor="accent4"/>
              <w:left w:val="dashed" w:sz="4" w:space="0" w:color="A09373" w:themeColor="accent4"/>
              <w:bottom w:val="dashed" w:sz="4" w:space="0" w:color="A09373" w:themeColor="accent4"/>
              <w:right w:val="dashed" w:sz="4" w:space="0" w:color="A09373" w:themeColor="accent4"/>
            </w:tcBorders>
            <w:shd w:val="clear" w:color="auto" w:fill="auto"/>
            <w:hideMark/>
          </w:tcPr>
          <w:p w14:paraId="7F55D66B"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Customer concentration analysis</w:t>
            </w:r>
          </w:p>
        </w:tc>
        <w:tc>
          <w:tcPr>
            <w:tcW w:w="3137" w:type="dxa"/>
            <w:tcBorders>
              <w:top w:val="dashed" w:sz="4" w:space="0" w:color="A09373" w:themeColor="accent4"/>
              <w:left w:val="dashed" w:sz="4" w:space="0" w:color="A09373" w:themeColor="accent4"/>
              <w:bottom w:val="dashed" w:sz="4" w:space="0" w:color="A09373" w:themeColor="accent4"/>
              <w:right w:val="single" w:sz="4" w:space="0" w:color="676978" w:themeColor="accent2"/>
            </w:tcBorders>
            <w:shd w:val="clear" w:color="auto" w:fill="auto"/>
            <w:hideMark/>
          </w:tcPr>
          <w:p w14:paraId="4494B569"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Analysis showing the percentage of total revenue per customer</w:t>
            </w:r>
          </w:p>
        </w:tc>
      </w:tr>
      <w:tr w:rsidR="00DD02FC" w:rsidRPr="00FE0A8D" w14:paraId="255640FC" w14:textId="77777777" w:rsidTr="00DD02FC">
        <w:trPr>
          <w:trHeight w:val="450"/>
        </w:trPr>
        <w:tc>
          <w:tcPr>
            <w:tcW w:w="566" w:type="dxa"/>
            <w:tcBorders>
              <w:top w:val="dashed" w:sz="4" w:space="0" w:color="A09373" w:themeColor="accent4"/>
              <w:left w:val="single" w:sz="4" w:space="0" w:color="676978" w:themeColor="accent2"/>
              <w:bottom w:val="dashed" w:sz="4" w:space="0" w:color="A09373" w:themeColor="accent4"/>
              <w:right w:val="dashed" w:sz="4" w:space="0" w:color="A09373" w:themeColor="accent4"/>
            </w:tcBorders>
            <w:shd w:val="clear" w:color="auto" w:fill="auto"/>
            <w:hideMark/>
          </w:tcPr>
          <w:p w14:paraId="5E300913"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2.7</w:t>
            </w:r>
          </w:p>
        </w:tc>
        <w:tc>
          <w:tcPr>
            <w:tcW w:w="6517" w:type="dxa"/>
            <w:tcBorders>
              <w:top w:val="dashed" w:sz="4" w:space="0" w:color="A09373" w:themeColor="accent4"/>
              <w:left w:val="dashed" w:sz="4" w:space="0" w:color="A09373" w:themeColor="accent4"/>
              <w:bottom w:val="dashed" w:sz="4" w:space="0" w:color="A09373" w:themeColor="accent4"/>
              <w:right w:val="dashed" w:sz="4" w:space="0" w:color="A09373" w:themeColor="accent4"/>
            </w:tcBorders>
            <w:shd w:val="clear" w:color="auto" w:fill="auto"/>
            <w:hideMark/>
          </w:tcPr>
          <w:p w14:paraId="18B46C0B" w14:textId="77777777" w:rsidR="00DD02FC"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Split of revenue by stream, and by recurring and non-recurring if applicable, for the previous two years and the YTD</w:t>
            </w:r>
          </w:p>
          <w:p w14:paraId="73D8FD35" w14:textId="31515847" w:rsidR="00DD02FC" w:rsidRPr="00FE0A8D" w:rsidRDefault="00DD02FC" w:rsidP="00DD02FC">
            <w:pPr>
              <w:spacing w:before="80" w:after="80" w:line="240" w:lineRule="auto"/>
              <w:rPr>
                <w:rFonts w:ascii="Tahoma" w:eastAsia="Times New Roman" w:hAnsi="Tahoma" w:cs="Tahoma"/>
                <w:color w:val="333F48"/>
                <w:sz w:val="18"/>
                <w:szCs w:val="18"/>
                <w:lang w:eastAsia="en-GB"/>
              </w:rPr>
            </w:pPr>
          </w:p>
        </w:tc>
        <w:tc>
          <w:tcPr>
            <w:tcW w:w="3137" w:type="dxa"/>
            <w:tcBorders>
              <w:top w:val="dashed" w:sz="4" w:space="0" w:color="A09373" w:themeColor="accent4"/>
              <w:left w:val="dashed" w:sz="4" w:space="0" w:color="A09373" w:themeColor="accent4"/>
              <w:bottom w:val="dashed" w:sz="4" w:space="0" w:color="A09373" w:themeColor="accent4"/>
              <w:right w:val="single" w:sz="4" w:space="0" w:color="676978" w:themeColor="accent2"/>
            </w:tcBorders>
            <w:shd w:val="clear" w:color="auto" w:fill="auto"/>
            <w:hideMark/>
          </w:tcPr>
          <w:p w14:paraId="78EC8925"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54F5ACD5" w14:textId="77777777" w:rsidTr="00DD02FC">
        <w:trPr>
          <w:trHeight w:val="255"/>
        </w:trPr>
        <w:tc>
          <w:tcPr>
            <w:tcW w:w="566" w:type="dxa"/>
            <w:tcBorders>
              <w:top w:val="dashed" w:sz="4" w:space="0" w:color="A09373" w:themeColor="accent4"/>
              <w:left w:val="single" w:sz="4" w:space="0" w:color="676978" w:themeColor="accent2"/>
              <w:bottom w:val="dashed" w:sz="4" w:space="0" w:color="A09373" w:themeColor="accent4"/>
              <w:right w:val="dashed" w:sz="4" w:space="0" w:color="A09373" w:themeColor="accent4"/>
            </w:tcBorders>
            <w:shd w:val="clear" w:color="auto" w:fill="auto"/>
            <w:hideMark/>
          </w:tcPr>
          <w:p w14:paraId="7907D6CA"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2.8</w:t>
            </w:r>
          </w:p>
        </w:tc>
        <w:tc>
          <w:tcPr>
            <w:tcW w:w="6517" w:type="dxa"/>
            <w:tcBorders>
              <w:top w:val="dashed" w:sz="4" w:space="0" w:color="A09373" w:themeColor="accent4"/>
              <w:left w:val="dashed" w:sz="4" w:space="0" w:color="A09373" w:themeColor="accent4"/>
              <w:bottom w:val="dashed" w:sz="4" w:space="0" w:color="A09373" w:themeColor="accent4"/>
              <w:right w:val="dashed" w:sz="4" w:space="0" w:color="A09373" w:themeColor="accent4"/>
            </w:tcBorders>
            <w:shd w:val="clear" w:color="auto" w:fill="auto"/>
            <w:hideMark/>
          </w:tcPr>
          <w:p w14:paraId="41069111" w14:textId="77777777" w:rsidR="00DD02FC"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A copy of the latest aged debtors report</w:t>
            </w:r>
          </w:p>
          <w:p w14:paraId="3CC7FC05" w14:textId="5CA1AA13" w:rsidR="00DD02FC" w:rsidRPr="00FE0A8D" w:rsidRDefault="00DD02FC" w:rsidP="00DD02FC">
            <w:pPr>
              <w:spacing w:before="80" w:after="80" w:line="240" w:lineRule="auto"/>
              <w:rPr>
                <w:rFonts w:ascii="Tahoma" w:eastAsia="Times New Roman" w:hAnsi="Tahoma" w:cs="Tahoma"/>
                <w:color w:val="333F48"/>
                <w:sz w:val="18"/>
                <w:szCs w:val="18"/>
                <w:lang w:eastAsia="en-GB"/>
              </w:rPr>
            </w:pPr>
          </w:p>
        </w:tc>
        <w:tc>
          <w:tcPr>
            <w:tcW w:w="3137" w:type="dxa"/>
            <w:tcBorders>
              <w:top w:val="dashed" w:sz="4" w:space="0" w:color="A09373" w:themeColor="accent4"/>
              <w:left w:val="dashed" w:sz="4" w:space="0" w:color="A09373" w:themeColor="accent4"/>
              <w:bottom w:val="dashed" w:sz="4" w:space="0" w:color="A09373" w:themeColor="accent4"/>
              <w:right w:val="single" w:sz="4" w:space="0" w:color="676978" w:themeColor="accent2"/>
            </w:tcBorders>
            <w:shd w:val="clear" w:color="auto" w:fill="auto"/>
            <w:hideMark/>
          </w:tcPr>
          <w:p w14:paraId="52AD146E"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3BC0AFEB" w14:textId="77777777" w:rsidTr="00DD02FC">
        <w:trPr>
          <w:trHeight w:val="255"/>
        </w:trPr>
        <w:tc>
          <w:tcPr>
            <w:tcW w:w="566" w:type="dxa"/>
            <w:tcBorders>
              <w:top w:val="dashed" w:sz="4" w:space="0" w:color="A09373" w:themeColor="accent4"/>
              <w:left w:val="single" w:sz="4" w:space="0" w:color="676978" w:themeColor="accent2"/>
              <w:bottom w:val="dashed" w:sz="4" w:space="0" w:color="A09373" w:themeColor="accent4"/>
              <w:right w:val="dashed" w:sz="4" w:space="0" w:color="A09373" w:themeColor="accent4"/>
            </w:tcBorders>
            <w:shd w:val="clear" w:color="auto" w:fill="auto"/>
            <w:hideMark/>
          </w:tcPr>
          <w:p w14:paraId="6FF43E4B"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2.9</w:t>
            </w:r>
          </w:p>
        </w:tc>
        <w:tc>
          <w:tcPr>
            <w:tcW w:w="6517" w:type="dxa"/>
            <w:tcBorders>
              <w:top w:val="dashed" w:sz="4" w:space="0" w:color="A09373" w:themeColor="accent4"/>
              <w:left w:val="dashed" w:sz="4" w:space="0" w:color="A09373" w:themeColor="accent4"/>
              <w:bottom w:val="dashed" w:sz="4" w:space="0" w:color="A09373" w:themeColor="accent4"/>
              <w:right w:val="dashed" w:sz="4" w:space="0" w:color="A09373" w:themeColor="accent4"/>
            </w:tcBorders>
            <w:shd w:val="clear" w:color="auto" w:fill="auto"/>
            <w:hideMark/>
          </w:tcPr>
          <w:p w14:paraId="4BD0D6B9" w14:textId="77777777" w:rsidR="00DD02FC"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A copy of the latest aged creditors report</w:t>
            </w:r>
          </w:p>
          <w:p w14:paraId="0806B810" w14:textId="33F7FDD0" w:rsidR="00DD02FC" w:rsidRPr="00FE0A8D" w:rsidRDefault="00DD02FC" w:rsidP="00DD02FC">
            <w:pPr>
              <w:spacing w:before="80" w:after="80" w:line="240" w:lineRule="auto"/>
              <w:rPr>
                <w:rFonts w:ascii="Tahoma" w:eastAsia="Times New Roman" w:hAnsi="Tahoma" w:cs="Tahoma"/>
                <w:color w:val="333F48"/>
                <w:sz w:val="18"/>
                <w:szCs w:val="18"/>
                <w:lang w:eastAsia="en-GB"/>
              </w:rPr>
            </w:pPr>
          </w:p>
        </w:tc>
        <w:tc>
          <w:tcPr>
            <w:tcW w:w="3137" w:type="dxa"/>
            <w:tcBorders>
              <w:top w:val="dashed" w:sz="4" w:space="0" w:color="A09373" w:themeColor="accent4"/>
              <w:left w:val="dashed" w:sz="4" w:space="0" w:color="A09373" w:themeColor="accent4"/>
              <w:bottom w:val="dashed" w:sz="4" w:space="0" w:color="A09373" w:themeColor="accent4"/>
              <w:right w:val="single" w:sz="4" w:space="0" w:color="676978" w:themeColor="accent2"/>
            </w:tcBorders>
            <w:shd w:val="clear" w:color="auto" w:fill="auto"/>
            <w:hideMark/>
          </w:tcPr>
          <w:p w14:paraId="3970E9A8"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6316F366" w14:textId="77777777" w:rsidTr="00DD02FC">
        <w:trPr>
          <w:trHeight w:val="255"/>
        </w:trPr>
        <w:tc>
          <w:tcPr>
            <w:tcW w:w="566" w:type="dxa"/>
            <w:tcBorders>
              <w:top w:val="dashed" w:sz="4" w:space="0" w:color="A09373" w:themeColor="accent4"/>
              <w:left w:val="single" w:sz="4" w:space="0" w:color="676978" w:themeColor="accent2"/>
              <w:bottom w:val="dashed" w:sz="4" w:space="0" w:color="A09373" w:themeColor="accent4"/>
              <w:right w:val="dashed" w:sz="4" w:space="0" w:color="A09373" w:themeColor="accent4"/>
            </w:tcBorders>
            <w:shd w:val="clear" w:color="auto" w:fill="auto"/>
            <w:hideMark/>
          </w:tcPr>
          <w:p w14:paraId="6A2994B3"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2.10</w:t>
            </w:r>
          </w:p>
        </w:tc>
        <w:tc>
          <w:tcPr>
            <w:tcW w:w="6517" w:type="dxa"/>
            <w:tcBorders>
              <w:top w:val="dashed" w:sz="4" w:space="0" w:color="A09373" w:themeColor="accent4"/>
              <w:left w:val="dashed" w:sz="4" w:space="0" w:color="A09373" w:themeColor="accent4"/>
              <w:bottom w:val="dashed" w:sz="4" w:space="0" w:color="A09373" w:themeColor="accent4"/>
              <w:right w:val="dashed" w:sz="4" w:space="0" w:color="A09373" w:themeColor="accent4"/>
            </w:tcBorders>
            <w:shd w:val="clear" w:color="auto" w:fill="auto"/>
            <w:hideMark/>
          </w:tcPr>
          <w:p w14:paraId="5FD0114B" w14:textId="77777777" w:rsidR="00DD02FC"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A copy of the latest fixed asset register</w:t>
            </w:r>
          </w:p>
          <w:p w14:paraId="583A780F" w14:textId="25CA5FF5" w:rsidR="00DD02FC" w:rsidRPr="00FE0A8D" w:rsidRDefault="00DD02FC" w:rsidP="00DD02FC">
            <w:pPr>
              <w:spacing w:before="80" w:after="80" w:line="240" w:lineRule="auto"/>
              <w:rPr>
                <w:rFonts w:ascii="Tahoma" w:eastAsia="Times New Roman" w:hAnsi="Tahoma" w:cs="Tahoma"/>
                <w:color w:val="333F48"/>
                <w:sz w:val="18"/>
                <w:szCs w:val="18"/>
                <w:lang w:eastAsia="en-GB"/>
              </w:rPr>
            </w:pPr>
          </w:p>
        </w:tc>
        <w:tc>
          <w:tcPr>
            <w:tcW w:w="3137" w:type="dxa"/>
            <w:tcBorders>
              <w:top w:val="dashed" w:sz="4" w:space="0" w:color="A09373" w:themeColor="accent4"/>
              <w:left w:val="dashed" w:sz="4" w:space="0" w:color="A09373" w:themeColor="accent4"/>
              <w:bottom w:val="dashed" w:sz="4" w:space="0" w:color="A09373" w:themeColor="accent4"/>
              <w:right w:val="single" w:sz="4" w:space="0" w:color="676978" w:themeColor="accent2"/>
            </w:tcBorders>
            <w:shd w:val="clear" w:color="auto" w:fill="auto"/>
            <w:hideMark/>
          </w:tcPr>
          <w:p w14:paraId="2714C6AF"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7F7DB500" w14:textId="77777777" w:rsidTr="00DD02FC">
        <w:trPr>
          <w:trHeight w:val="255"/>
        </w:trPr>
        <w:tc>
          <w:tcPr>
            <w:tcW w:w="566" w:type="dxa"/>
            <w:tcBorders>
              <w:top w:val="dashed" w:sz="4" w:space="0" w:color="A09373" w:themeColor="accent4"/>
              <w:left w:val="single" w:sz="4" w:space="0" w:color="676978" w:themeColor="accent2"/>
              <w:bottom w:val="dashed" w:sz="4" w:space="0" w:color="A09373" w:themeColor="accent4"/>
              <w:right w:val="dashed" w:sz="4" w:space="0" w:color="A09373" w:themeColor="accent4"/>
            </w:tcBorders>
            <w:shd w:val="clear" w:color="auto" w:fill="auto"/>
            <w:hideMark/>
          </w:tcPr>
          <w:p w14:paraId="0284895E"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2.11</w:t>
            </w:r>
          </w:p>
        </w:tc>
        <w:tc>
          <w:tcPr>
            <w:tcW w:w="6517" w:type="dxa"/>
            <w:tcBorders>
              <w:top w:val="dashed" w:sz="4" w:space="0" w:color="A09373" w:themeColor="accent4"/>
              <w:left w:val="dashed" w:sz="4" w:space="0" w:color="A09373" w:themeColor="accent4"/>
              <w:bottom w:val="dashed" w:sz="4" w:space="0" w:color="A09373" w:themeColor="accent4"/>
              <w:right w:val="dashed" w:sz="4" w:space="0" w:color="A09373" w:themeColor="accent4"/>
            </w:tcBorders>
            <w:shd w:val="clear" w:color="auto" w:fill="auto"/>
            <w:hideMark/>
          </w:tcPr>
          <w:p w14:paraId="0FA88930" w14:textId="77777777" w:rsidR="00DD02FC"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Breakdown of all other debtors and creditors as at the YTD</w:t>
            </w:r>
          </w:p>
          <w:p w14:paraId="3196918C" w14:textId="4C345B8A" w:rsidR="00DD02FC" w:rsidRPr="00FE0A8D" w:rsidRDefault="00DD02FC" w:rsidP="00DD02FC">
            <w:pPr>
              <w:spacing w:before="80" w:after="80" w:line="240" w:lineRule="auto"/>
              <w:rPr>
                <w:rFonts w:ascii="Tahoma" w:eastAsia="Times New Roman" w:hAnsi="Tahoma" w:cs="Tahoma"/>
                <w:color w:val="333F48"/>
                <w:sz w:val="18"/>
                <w:szCs w:val="18"/>
                <w:lang w:eastAsia="en-GB"/>
              </w:rPr>
            </w:pPr>
          </w:p>
        </w:tc>
        <w:tc>
          <w:tcPr>
            <w:tcW w:w="3137" w:type="dxa"/>
            <w:tcBorders>
              <w:top w:val="dashed" w:sz="4" w:space="0" w:color="A09373" w:themeColor="accent4"/>
              <w:left w:val="dashed" w:sz="4" w:space="0" w:color="A09373" w:themeColor="accent4"/>
              <w:bottom w:val="dashed" w:sz="4" w:space="0" w:color="A09373" w:themeColor="accent4"/>
              <w:right w:val="single" w:sz="4" w:space="0" w:color="676978" w:themeColor="accent2"/>
            </w:tcBorders>
            <w:shd w:val="clear" w:color="auto" w:fill="auto"/>
            <w:hideMark/>
          </w:tcPr>
          <w:p w14:paraId="4270E13D"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3AB9CBE5" w14:textId="77777777" w:rsidTr="00DD02FC">
        <w:trPr>
          <w:trHeight w:val="255"/>
        </w:trPr>
        <w:tc>
          <w:tcPr>
            <w:tcW w:w="566" w:type="dxa"/>
            <w:tcBorders>
              <w:top w:val="dashed" w:sz="4" w:space="0" w:color="A09373" w:themeColor="accent4"/>
              <w:left w:val="single" w:sz="4" w:space="0" w:color="676978" w:themeColor="accent2"/>
              <w:bottom w:val="single" w:sz="4" w:space="0" w:color="676978" w:themeColor="accent2"/>
              <w:right w:val="dashed" w:sz="4" w:space="0" w:color="A09373" w:themeColor="accent4"/>
            </w:tcBorders>
            <w:shd w:val="clear" w:color="auto" w:fill="auto"/>
            <w:hideMark/>
          </w:tcPr>
          <w:p w14:paraId="1495CB05"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2.12</w:t>
            </w:r>
          </w:p>
        </w:tc>
        <w:tc>
          <w:tcPr>
            <w:tcW w:w="6517" w:type="dxa"/>
            <w:tcBorders>
              <w:top w:val="dashed" w:sz="4" w:space="0" w:color="A09373" w:themeColor="accent4"/>
              <w:left w:val="dashed" w:sz="4" w:space="0" w:color="A09373" w:themeColor="accent4"/>
              <w:bottom w:val="single" w:sz="4" w:space="0" w:color="676978" w:themeColor="accent2"/>
              <w:right w:val="dashed" w:sz="4" w:space="0" w:color="A09373" w:themeColor="accent4"/>
            </w:tcBorders>
            <w:shd w:val="clear" w:color="auto" w:fill="auto"/>
            <w:hideMark/>
          </w:tcPr>
          <w:p w14:paraId="519A48C5"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Intercompany balance matrix as at the YTD, if applicable</w:t>
            </w:r>
          </w:p>
        </w:tc>
        <w:tc>
          <w:tcPr>
            <w:tcW w:w="3137" w:type="dxa"/>
            <w:tcBorders>
              <w:top w:val="dashed" w:sz="4" w:space="0" w:color="A09373" w:themeColor="accent4"/>
              <w:left w:val="dashed" w:sz="4" w:space="0" w:color="A09373" w:themeColor="accent4"/>
              <w:bottom w:val="single" w:sz="4" w:space="0" w:color="676978" w:themeColor="accent2"/>
              <w:right w:val="single" w:sz="4" w:space="0" w:color="676978" w:themeColor="accent2"/>
            </w:tcBorders>
            <w:shd w:val="clear" w:color="auto" w:fill="auto"/>
            <w:hideMark/>
          </w:tcPr>
          <w:p w14:paraId="76807FF5" w14:textId="77777777" w:rsidR="00DD02FC" w:rsidRPr="00FE0A8D" w:rsidRDefault="00DD02FC" w:rsidP="00DD02FC">
            <w:pPr>
              <w:spacing w:before="80" w:after="8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16BF51CF" w14:textId="77777777" w:rsidTr="00DD02FC">
        <w:trPr>
          <w:trHeight w:val="454"/>
        </w:trPr>
        <w:tc>
          <w:tcPr>
            <w:tcW w:w="566" w:type="dxa"/>
            <w:tcBorders>
              <w:top w:val="single" w:sz="4" w:space="0" w:color="676978" w:themeColor="accent2"/>
              <w:left w:val="single" w:sz="4" w:space="0" w:color="676978" w:themeColor="accent2"/>
              <w:bottom w:val="single" w:sz="4" w:space="0" w:color="676978" w:themeColor="accent2"/>
              <w:right w:val="nil"/>
            </w:tcBorders>
            <w:shd w:val="clear" w:color="auto" w:fill="C6D1DB" w:themeFill="accent3" w:themeFillTint="66"/>
            <w:noWrap/>
            <w:vAlign w:val="center"/>
            <w:hideMark/>
          </w:tcPr>
          <w:p w14:paraId="2E5209EC" w14:textId="0992CFA6" w:rsidR="00DD02FC" w:rsidRPr="00C11389" w:rsidRDefault="00DD02FC" w:rsidP="00DD02FC">
            <w:pPr>
              <w:spacing w:before="120" w:after="120" w:line="240" w:lineRule="auto"/>
              <w:rPr>
                <w:rFonts w:ascii="Tahoma" w:eastAsia="Times New Roman" w:hAnsi="Tahoma" w:cs="Tahoma"/>
                <w:b/>
                <w:bCs/>
                <w:color w:val="333F48"/>
                <w:sz w:val="18"/>
                <w:szCs w:val="18"/>
                <w:lang w:eastAsia="en-GB"/>
              </w:rPr>
            </w:pPr>
            <w:r w:rsidRPr="00C11389">
              <w:rPr>
                <w:rFonts w:ascii="Tahoma" w:eastAsia="Times New Roman" w:hAnsi="Tahoma" w:cs="Tahoma"/>
                <w:b/>
                <w:bCs/>
                <w:color w:val="333F48"/>
                <w:sz w:val="18"/>
                <w:szCs w:val="18"/>
                <w:lang w:eastAsia="en-GB"/>
              </w:rPr>
              <w:t>3</w:t>
            </w:r>
          </w:p>
        </w:tc>
        <w:tc>
          <w:tcPr>
            <w:tcW w:w="6517" w:type="dxa"/>
            <w:tcBorders>
              <w:top w:val="single" w:sz="4" w:space="0" w:color="676978" w:themeColor="accent2"/>
              <w:left w:val="nil"/>
              <w:bottom w:val="single" w:sz="4" w:space="0" w:color="676978" w:themeColor="accent2"/>
              <w:right w:val="nil"/>
            </w:tcBorders>
            <w:shd w:val="clear" w:color="auto" w:fill="C6D1DB" w:themeFill="accent3" w:themeFillTint="66"/>
            <w:noWrap/>
            <w:vAlign w:val="center"/>
            <w:hideMark/>
          </w:tcPr>
          <w:p w14:paraId="1C536A98" w14:textId="6369BB9A" w:rsidR="00DD02FC" w:rsidRPr="00C11389" w:rsidRDefault="00DD02FC" w:rsidP="00DD02FC">
            <w:pPr>
              <w:spacing w:before="120" w:after="120" w:line="240" w:lineRule="auto"/>
              <w:rPr>
                <w:rFonts w:ascii="Tahoma" w:eastAsia="Times New Roman" w:hAnsi="Tahoma" w:cs="Tahoma"/>
                <w:b/>
                <w:bCs/>
                <w:color w:val="333F48"/>
                <w:sz w:val="18"/>
                <w:szCs w:val="18"/>
                <w:lang w:eastAsia="en-GB"/>
              </w:rPr>
            </w:pPr>
            <w:r w:rsidRPr="00C11389">
              <w:rPr>
                <w:rFonts w:ascii="Tahoma" w:eastAsia="Times New Roman" w:hAnsi="Tahoma" w:cs="Tahoma"/>
                <w:b/>
                <w:bCs/>
                <w:color w:val="333F48"/>
                <w:sz w:val="18"/>
                <w:szCs w:val="18"/>
                <w:lang w:eastAsia="en-GB"/>
              </w:rPr>
              <w:t>Forecast financial information - 13-week short-term cash flow</w:t>
            </w:r>
          </w:p>
        </w:tc>
        <w:tc>
          <w:tcPr>
            <w:tcW w:w="3137" w:type="dxa"/>
            <w:tcBorders>
              <w:top w:val="single" w:sz="4" w:space="0" w:color="676978" w:themeColor="accent2"/>
              <w:left w:val="nil"/>
              <w:bottom w:val="single" w:sz="4" w:space="0" w:color="676978" w:themeColor="accent2"/>
              <w:right w:val="single" w:sz="4" w:space="0" w:color="676978" w:themeColor="accent2"/>
            </w:tcBorders>
            <w:shd w:val="clear" w:color="auto" w:fill="C6D1DB" w:themeFill="accent3" w:themeFillTint="66"/>
            <w:noWrap/>
            <w:vAlign w:val="center"/>
            <w:hideMark/>
          </w:tcPr>
          <w:p w14:paraId="25039D89"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74ABB564" w14:textId="77777777" w:rsidTr="00DD02FC">
        <w:trPr>
          <w:trHeight w:val="675"/>
        </w:trPr>
        <w:tc>
          <w:tcPr>
            <w:tcW w:w="566" w:type="dxa"/>
            <w:tcBorders>
              <w:top w:val="single" w:sz="4" w:space="0" w:color="676978" w:themeColor="accent2"/>
              <w:left w:val="single" w:sz="4" w:space="0" w:color="676978" w:themeColor="accent2"/>
              <w:bottom w:val="single" w:sz="4" w:space="0" w:color="676978" w:themeColor="accent2"/>
              <w:right w:val="dashed" w:sz="4" w:space="0" w:color="A09373" w:themeColor="accent4"/>
            </w:tcBorders>
            <w:shd w:val="clear" w:color="auto" w:fill="auto"/>
            <w:hideMark/>
          </w:tcPr>
          <w:p w14:paraId="44B23F27"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3.1</w:t>
            </w:r>
          </w:p>
        </w:tc>
        <w:tc>
          <w:tcPr>
            <w:tcW w:w="6517" w:type="dxa"/>
            <w:tcBorders>
              <w:top w:val="single" w:sz="4" w:space="0" w:color="676978" w:themeColor="accent2"/>
              <w:left w:val="dashed" w:sz="4" w:space="0" w:color="A09373" w:themeColor="accent4"/>
              <w:bottom w:val="single" w:sz="4" w:space="0" w:color="676978" w:themeColor="accent2"/>
              <w:right w:val="dashed" w:sz="4" w:space="0" w:color="A09373" w:themeColor="accent4"/>
            </w:tcBorders>
            <w:shd w:val="clear" w:color="auto" w:fill="auto"/>
            <w:hideMark/>
          </w:tcPr>
          <w:p w14:paraId="052D838D" w14:textId="62F31FC0"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Company, and consolidated group (if applicable), 13-week short-term cash flow forecast. This forecast should include how current assets and liabilities (predominantly, but not limited to, the latest aged debtors and creditors) unwind over the 13-week period</w:t>
            </w:r>
          </w:p>
        </w:tc>
        <w:tc>
          <w:tcPr>
            <w:tcW w:w="3137" w:type="dxa"/>
            <w:tcBorders>
              <w:top w:val="single" w:sz="4" w:space="0" w:color="676978" w:themeColor="accent2"/>
              <w:left w:val="dashed" w:sz="4" w:space="0" w:color="A09373" w:themeColor="accent4"/>
              <w:bottom w:val="single" w:sz="4" w:space="0" w:color="676978" w:themeColor="accent2"/>
              <w:right w:val="single" w:sz="4" w:space="0" w:color="676978" w:themeColor="accent2"/>
            </w:tcBorders>
            <w:shd w:val="clear" w:color="auto" w:fill="auto"/>
            <w:hideMark/>
          </w:tcPr>
          <w:p w14:paraId="6608A4EB" w14:textId="73A8E0F1"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A 13-week forecast is used as it covers a full quarter of the financial year, encompassing key payments being rent and VAT quarters</w:t>
            </w:r>
          </w:p>
        </w:tc>
      </w:tr>
    </w:tbl>
    <w:p w14:paraId="6645CB6E" w14:textId="77777777" w:rsidR="00DD02FC" w:rsidRDefault="00DD02FC">
      <w:r>
        <w:br w:type="page"/>
      </w:r>
    </w:p>
    <w:tbl>
      <w:tblPr>
        <w:tblW w:w="10220" w:type="dxa"/>
        <w:tblLayout w:type="fixed"/>
        <w:tblLook w:val="04A0" w:firstRow="1" w:lastRow="0" w:firstColumn="1" w:lastColumn="0" w:noHBand="0" w:noVBand="1"/>
      </w:tblPr>
      <w:tblGrid>
        <w:gridCol w:w="566"/>
        <w:gridCol w:w="6517"/>
        <w:gridCol w:w="3137"/>
      </w:tblGrid>
      <w:tr w:rsidR="00DD02FC" w:rsidRPr="00FE0A8D" w14:paraId="717F9BE2" w14:textId="77777777" w:rsidTr="00DD02FC">
        <w:trPr>
          <w:trHeight w:val="255"/>
        </w:trPr>
        <w:tc>
          <w:tcPr>
            <w:tcW w:w="566" w:type="dxa"/>
            <w:tcBorders>
              <w:top w:val="single" w:sz="4" w:space="0" w:color="676978" w:themeColor="accent2"/>
              <w:left w:val="single" w:sz="4" w:space="0" w:color="676978" w:themeColor="accent2"/>
              <w:bottom w:val="single" w:sz="4" w:space="0" w:color="676978" w:themeColor="accent2"/>
            </w:tcBorders>
            <w:shd w:val="clear" w:color="auto" w:fill="C6D1DB" w:themeFill="accent3" w:themeFillTint="66"/>
            <w:vAlign w:val="center"/>
          </w:tcPr>
          <w:p w14:paraId="22F5D468" w14:textId="77FD090A"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C11389">
              <w:rPr>
                <w:rFonts w:ascii="Tahoma" w:eastAsia="Times New Roman" w:hAnsi="Tahoma" w:cs="Tahoma"/>
                <w:b/>
                <w:bCs/>
                <w:color w:val="333F48"/>
                <w:sz w:val="18"/>
                <w:szCs w:val="18"/>
                <w:lang w:eastAsia="en-GB"/>
              </w:rPr>
              <w:lastRenderedPageBreak/>
              <w:t>3</w:t>
            </w:r>
          </w:p>
        </w:tc>
        <w:tc>
          <w:tcPr>
            <w:tcW w:w="9654" w:type="dxa"/>
            <w:gridSpan w:val="2"/>
            <w:tcBorders>
              <w:top w:val="single" w:sz="4" w:space="0" w:color="676978" w:themeColor="accent2"/>
              <w:bottom w:val="single" w:sz="4" w:space="0" w:color="676978" w:themeColor="accent2"/>
              <w:right w:val="single" w:sz="4" w:space="0" w:color="676978" w:themeColor="accent2"/>
            </w:tcBorders>
            <w:shd w:val="clear" w:color="auto" w:fill="C6D1DB" w:themeFill="accent3" w:themeFillTint="66"/>
            <w:vAlign w:val="center"/>
          </w:tcPr>
          <w:p w14:paraId="44F120AE" w14:textId="78511FC0"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C11389">
              <w:rPr>
                <w:rFonts w:ascii="Tahoma" w:eastAsia="Times New Roman" w:hAnsi="Tahoma" w:cs="Tahoma"/>
                <w:b/>
                <w:bCs/>
                <w:color w:val="333F48"/>
                <w:sz w:val="18"/>
                <w:szCs w:val="18"/>
                <w:lang w:eastAsia="en-GB"/>
              </w:rPr>
              <w:t xml:space="preserve">Forecast financial information - </w:t>
            </w:r>
            <w:proofErr w:type="gramStart"/>
            <w:r w:rsidRPr="00C11389">
              <w:rPr>
                <w:rFonts w:ascii="Tahoma" w:eastAsia="Times New Roman" w:hAnsi="Tahoma" w:cs="Tahoma"/>
                <w:b/>
                <w:bCs/>
                <w:color w:val="333F48"/>
                <w:sz w:val="18"/>
                <w:szCs w:val="18"/>
                <w:lang w:eastAsia="en-GB"/>
              </w:rPr>
              <w:t>13 week</w:t>
            </w:r>
            <w:proofErr w:type="gramEnd"/>
            <w:r w:rsidRPr="00C11389">
              <w:rPr>
                <w:rFonts w:ascii="Tahoma" w:eastAsia="Times New Roman" w:hAnsi="Tahoma" w:cs="Tahoma"/>
                <w:b/>
                <w:bCs/>
                <w:color w:val="333F48"/>
                <w:sz w:val="18"/>
                <w:szCs w:val="18"/>
                <w:lang w:eastAsia="en-GB"/>
              </w:rPr>
              <w:t xml:space="preserve"> short-term cash flow</w:t>
            </w:r>
            <w:r>
              <w:rPr>
                <w:rFonts w:ascii="Tahoma" w:eastAsia="Times New Roman" w:hAnsi="Tahoma" w:cs="Tahoma"/>
                <w:b/>
                <w:bCs/>
                <w:color w:val="333F48"/>
                <w:sz w:val="18"/>
                <w:szCs w:val="18"/>
                <w:lang w:eastAsia="en-GB"/>
              </w:rPr>
              <w:t xml:space="preserve"> cont.</w:t>
            </w:r>
          </w:p>
        </w:tc>
      </w:tr>
      <w:tr w:rsidR="00DD02FC" w:rsidRPr="00FE0A8D" w14:paraId="79730E15" w14:textId="77777777" w:rsidTr="00DD02FC">
        <w:trPr>
          <w:trHeight w:val="255"/>
        </w:trPr>
        <w:tc>
          <w:tcPr>
            <w:tcW w:w="566" w:type="dxa"/>
            <w:tcBorders>
              <w:top w:val="single" w:sz="4" w:space="0" w:color="676978" w:themeColor="accent2"/>
              <w:left w:val="single" w:sz="4" w:space="0" w:color="676978" w:themeColor="accent2"/>
              <w:bottom w:val="dashed" w:sz="4" w:space="0" w:color="A09373" w:themeColor="accent4"/>
              <w:right w:val="dashed" w:sz="4" w:space="0" w:color="A09373" w:themeColor="accent4"/>
            </w:tcBorders>
            <w:shd w:val="clear" w:color="auto" w:fill="auto"/>
            <w:hideMark/>
          </w:tcPr>
          <w:p w14:paraId="7A5ABE5A"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3.2</w:t>
            </w:r>
          </w:p>
        </w:tc>
        <w:tc>
          <w:tcPr>
            <w:tcW w:w="6517" w:type="dxa"/>
            <w:tcBorders>
              <w:top w:val="single" w:sz="4" w:space="0" w:color="676978" w:themeColor="accent2"/>
              <w:left w:val="dashed" w:sz="4" w:space="0" w:color="A09373" w:themeColor="accent4"/>
              <w:bottom w:val="dashed" w:sz="4" w:space="0" w:color="A09373" w:themeColor="accent4"/>
              <w:right w:val="dashed" w:sz="4" w:space="0" w:color="A09373" w:themeColor="accent4"/>
            </w:tcBorders>
            <w:shd w:val="clear" w:color="auto" w:fill="auto"/>
            <w:hideMark/>
          </w:tcPr>
          <w:p w14:paraId="06457ACF"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xml:space="preserve">Schedule of all direct debits and standing orders forecast for the </w:t>
            </w:r>
            <w:proofErr w:type="gramStart"/>
            <w:r w:rsidRPr="00FE0A8D">
              <w:rPr>
                <w:rFonts w:ascii="Tahoma" w:eastAsia="Times New Roman" w:hAnsi="Tahoma" w:cs="Tahoma"/>
                <w:color w:val="333F48"/>
                <w:sz w:val="18"/>
                <w:szCs w:val="18"/>
                <w:lang w:eastAsia="en-GB"/>
              </w:rPr>
              <w:t>13 week</w:t>
            </w:r>
            <w:proofErr w:type="gramEnd"/>
            <w:r w:rsidRPr="00FE0A8D">
              <w:rPr>
                <w:rFonts w:ascii="Tahoma" w:eastAsia="Times New Roman" w:hAnsi="Tahoma" w:cs="Tahoma"/>
                <w:color w:val="333F48"/>
                <w:sz w:val="18"/>
                <w:szCs w:val="18"/>
                <w:lang w:eastAsia="en-GB"/>
              </w:rPr>
              <w:t xml:space="preserve"> period</w:t>
            </w:r>
          </w:p>
        </w:tc>
        <w:tc>
          <w:tcPr>
            <w:tcW w:w="3137" w:type="dxa"/>
            <w:tcBorders>
              <w:top w:val="single" w:sz="4" w:space="0" w:color="676978" w:themeColor="accent2"/>
              <w:left w:val="dashed" w:sz="4" w:space="0" w:color="A09373" w:themeColor="accent4"/>
              <w:bottom w:val="dashed" w:sz="4" w:space="0" w:color="A09373" w:themeColor="accent4"/>
              <w:right w:val="single" w:sz="4" w:space="0" w:color="676978" w:themeColor="accent2"/>
            </w:tcBorders>
            <w:shd w:val="clear" w:color="auto" w:fill="auto"/>
            <w:hideMark/>
          </w:tcPr>
          <w:p w14:paraId="35F45524"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6608E1D4" w14:textId="77777777" w:rsidTr="00DD02FC">
        <w:trPr>
          <w:trHeight w:val="255"/>
        </w:trPr>
        <w:tc>
          <w:tcPr>
            <w:tcW w:w="566" w:type="dxa"/>
            <w:tcBorders>
              <w:top w:val="dashed" w:sz="4" w:space="0" w:color="A09373" w:themeColor="accent4"/>
              <w:left w:val="single" w:sz="4" w:space="0" w:color="676978" w:themeColor="accent2"/>
              <w:bottom w:val="dashed" w:sz="4" w:space="0" w:color="A09373" w:themeColor="accent4"/>
              <w:right w:val="dashed" w:sz="4" w:space="0" w:color="A09373" w:themeColor="accent4"/>
            </w:tcBorders>
            <w:shd w:val="clear" w:color="auto" w:fill="auto"/>
            <w:hideMark/>
          </w:tcPr>
          <w:p w14:paraId="4DF02AD2"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3.3</w:t>
            </w:r>
          </w:p>
        </w:tc>
        <w:tc>
          <w:tcPr>
            <w:tcW w:w="6517" w:type="dxa"/>
            <w:tcBorders>
              <w:top w:val="dashed" w:sz="4" w:space="0" w:color="A09373" w:themeColor="accent4"/>
              <w:left w:val="dashed" w:sz="4" w:space="0" w:color="A09373" w:themeColor="accent4"/>
              <w:bottom w:val="dashed" w:sz="4" w:space="0" w:color="A09373" w:themeColor="accent4"/>
              <w:right w:val="dashed" w:sz="4" w:space="0" w:color="A09373" w:themeColor="accent4"/>
            </w:tcBorders>
            <w:shd w:val="clear" w:color="auto" w:fill="auto"/>
            <w:hideMark/>
          </w:tcPr>
          <w:p w14:paraId="11A7A969"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xml:space="preserve">Details of expected payroll amounts for the </w:t>
            </w:r>
            <w:proofErr w:type="gramStart"/>
            <w:r w:rsidRPr="00FE0A8D">
              <w:rPr>
                <w:rFonts w:ascii="Tahoma" w:eastAsia="Times New Roman" w:hAnsi="Tahoma" w:cs="Tahoma"/>
                <w:color w:val="333F48"/>
                <w:sz w:val="18"/>
                <w:szCs w:val="18"/>
                <w:lang w:eastAsia="en-GB"/>
              </w:rPr>
              <w:t>13 week</w:t>
            </w:r>
            <w:proofErr w:type="gramEnd"/>
            <w:r w:rsidRPr="00FE0A8D">
              <w:rPr>
                <w:rFonts w:ascii="Tahoma" w:eastAsia="Times New Roman" w:hAnsi="Tahoma" w:cs="Tahoma"/>
                <w:color w:val="333F48"/>
                <w:sz w:val="18"/>
                <w:szCs w:val="18"/>
                <w:lang w:eastAsia="en-GB"/>
              </w:rPr>
              <w:t xml:space="preserve"> period</w:t>
            </w:r>
          </w:p>
        </w:tc>
        <w:tc>
          <w:tcPr>
            <w:tcW w:w="3137" w:type="dxa"/>
            <w:tcBorders>
              <w:top w:val="dashed" w:sz="4" w:space="0" w:color="A09373" w:themeColor="accent4"/>
              <w:left w:val="dashed" w:sz="4" w:space="0" w:color="A09373" w:themeColor="accent4"/>
              <w:bottom w:val="dashed" w:sz="4" w:space="0" w:color="A09373" w:themeColor="accent4"/>
              <w:right w:val="single" w:sz="4" w:space="0" w:color="676978" w:themeColor="accent2"/>
            </w:tcBorders>
            <w:shd w:val="clear" w:color="auto" w:fill="auto"/>
            <w:hideMark/>
          </w:tcPr>
          <w:p w14:paraId="6A80B0BB"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4F7F878B" w14:textId="77777777" w:rsidTr="00DD02FC">
        <w:trPr>
          <w:trHeight w:val="255"/>
        </w:trPr>
        <w:tc>
          <w:tcPr>
            <w:tcW w:w="566" w:type="dxa"/>
            <w:tcBorders>
              <w:top w:val="dashed" w:sz="4" w:space="0" w:color="A09373" w:themeColor="accent4"/>
              <w:left w:val="single" w:sz="4" w:space="0" w:color="676978" w:themeColor="accent2"/>
              <w:bottom w:val="dashed" w:sz="4" w:space="0" w:color="A09373" w:themeColor="accent4"/>
              <w:right w:val="dashed" w:sz="4" w:space="0" w:color="A09373" w:themeColor="accent4"/>
            </w:tcBorders>
            <w:shd w:val="clear" w:color="auto" w:fill="auto"/>
            <w:hideMark/>
          </w:tcPr>
          <w:p w14:paraId="7DCC716E"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3.4</w:t>
            </w:r>
          </w:p>
        </w:tc>
        <w:tc>
          <w:tcPr>
            <w:tcW w:w="6517" w:type="dxa"/>
            <w:tcBorders>
              <w:top w:val="dashed" w:sz="4" w:space="0" w:color="A09373" w:themeColor="accent4"/>
              <w:left w:val="dashed" w:sz="4" w:space="0" w:color="A09373" w:themeColor="accent4"/>
              <w:bottom w:val="dashed" w:sz="4" w:space="0" w:color="A09373" w:themeColor="accent4"/>
              <w:right w:val="dashed" w:sz="4" w:space="0" w:color="A09373" w:themeColor="accent4"/>
            </w:tcBorders>
            <w:shd w:val="clear" w:color="auto" w:fill="auto"/>
            <w:hideMark/>
          </w:tcPr>
          <w:p w14:paraId="27288CFD"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Details of all rent and service charge payments due each quarter</w:t>
            </w:r>
          </w:p>
        </w:tc>
        <w:tc>
          <w:tcPr>
            <w:tcW w:w="3137" w:type="dxa"/>
            <w:tcBorders>
              <w:top w:val="dashed" w:sz="4" w:space="0" w:color="A09373" w:themeColor="accent4"/>
              <w:left w:val="dashed" w:sz="4" w:space="0" w:color="A09373" w:themeColor="accent4"/>
              <w:bottom w:val="dashed" w:sz="4" w:space="0" w:color="A09373" w:themeColor="accent4"/>
              <w:right w:val="single" w:sz="4" w:space="0" w:color="676978" w:themeColor="accent2"/>
            </w:tcBorders>
            <w:shd w:val="clear" w:color="auto" w:fill="auto"/>
            <w:hideMark/>
          </w:tcPr>
          <w:p w14:paraId="224F1905"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787F995F" w14:textId="77777777" w:rsidTr="00DD02FC">
        <w:trPr>
          <w:trHeight w:val="450"/>
        </w:trPr>
        <w:tc>
          <w:tcPr>
            <w:tcW w:w="566" w:type="dxa"/>
            <w:tcBorders>
              <w:top w:val="dashed" w:sz="4" w:space="0" w:color="A09373" w:themeColor="accent4"/>
              <w:left w:val="single" w:sz="4" w:space="0" w:color="676978" w:themeColor="accent2"/>
              <w:bottom w:val="dashed" w:sz="4" w:space="0" w:color="A09373" w:themeColor="accent4"/>
              <w:right w:val="dashed" w:sz="4" w:space="0" w:color="A09373" w:themeColor="accent4"/>
            </w:tcBorders>
            <w:shd w:val="clear" w:color="auto" w:fill="auto"/>
            <w:hideMark/>
          </w:tcPr>
          <w:p w14:paraId="6A7FB835"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3.5</w:t>
            </w:r>
          </w:p>
        </w:tc>
        <w:tc>
          <w:tcPr>
            <w:tcW w:w="6517" w:type="dxa"/>
            <w:tcBorders>
              <w:top w:val="dashed" w:sz="4" w:space="0" w:color="A09373" w:themeColor="accent4"/>
              <w:left w:val="dashed" w:sz="4" w:space="0" w:color="A09373" w:themeColor="accent4"/>
              <w:bottom w:val="dashed" w:sz="4" w:space="0" w:color="A09373" w:themeColor="accent4"/>
              <w:right w:val="dashed" w:sz="4" w:space="0" w:color="A09373" w:themeColor="accent4"/>
            </w:tcBorders>
            <w:shd w:val="clear" w:color="auto" w:fill="auto"/>
            <w:hideMark/>
          </w:tcPr>
          <w:p w14:paraId="40CACBDB"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Schedule of any HMRC liabilities, including any time to pay arrangements where applicable, and whether it is anticipated these payments will be deferred in line with the COVID-19 deferral holidays</w:t>
            </w:r>
          </w:p>
        </w:tc>
        <w:tc>
          <w:tcPr>
            <w:tcW w:w="3137" w:type="dxa"/>
            <w:tcBorders>
              <w:top w:val="dashed" w:sz="4" w:space="0" w:color="A09373" w:themeColor="accent4"/>
              <w:left w:val="dashed" w:sz="4" w:space="0" w:color="A09373" w:themeColor="accent4"/>
              <w:bottom w:val="dashed" w:sz="4" w:space="0" w:color="A09373" w:themeColor="accent4"/>
              <w:right w:val="single" w:sz="4" w:space="0" w:color="676978" w:themeColor="accent2"/>
            </w:tcBorders>
            <w:shd w:val="clear" w:color="auto" w:fill="auto"/>
            <w:hideMark/>
          </w:tcPr>
          <w:p w14:paraId="4BE0573D"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0B29F87C" w14:textId="77777777" w:rsidTr="00DD02FC">
        <w:trPr>
          <w:trHeight w:val="255"/>
        </w:trPr>
        <w:tc>
          <w:tcPr>
            <w:tcW w:w="566" w:type="dxa"/>
            <w:tcBorders>
              <w:top w:val="dashed" w:sz="4" w:space="0" w:color="A09373" w:themeColor="accent4"/>
              <w:left w:val="single" w:sz="4" w:space="0" w:color="676978" w:themeColor="accent2"/>
              <w:bottom w:val="dashed" w:sz="4" w:space="0" w:color="A09373" w:themeColor="accent4"/>
              <w:right w:val="dashed" w:sz="4" w:space="0" w:color="A09373" w:themeColor="accent4"/>
            </w:tcBorders>
            <w:shd w:val="clear" w:color="auto" w:fill="auto"/>
            <w:hideMark/>
          </w:tcPr>
          <w:p w14:paraId="522BC606"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3.6</w:t>
            </w:r>
          </w:p>
        </w:tc>
        <w:tc>
          <w:tcPr>
            <w:tcW w:w="6517" w:type="dxa"/>
            <w:tcBorders>
              <w:top w:val="dashed" w:sz="4" w:space="0" w:color="A09373" w:themeColor="accent4"/>
              <w:left w:val="dashed" w:sz="4" w:space="0" w:color="A09373" w:themeColor="accent4"/>
              <w:bottom w:val="dashed" w:sz="4" w:space="0" w:color="A09373" w:themeColor="accent4"/>
              <w:right w:val="dashed" w:sz="4" w:space="0" w:color="A09373" w:themeColor="accent4"/>
            </w:tcBorders>
            <w:shd w:val="clear" w:color="auto" w:fill="auto"/>
            <w:hideMark/>
          </w:tcPr>
          <w:p w14:paraId="7458BF66"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Confirmation of agreed/standard credit terms offered to customers and received from suppliers</w:t>
            </w:r>
          </w:p>
        </w:tc>
        <w:tc>
          <w:tcPr>
            <w:tcW w:w="3137" w:type="dxa"/>
            <w:tcBorders>
              <w:top w:val="dashed" w:sz="4" w:space="0" w:color="A09373" w:themeColor="accent4"/>
              <w:left w:val="dashed" w:sz="4" w:space="0" w:color="A09373" w:themeColor="accent4"/>
              <w:bottom w:val="dashed" w:sz="4" w:space="0" w:color="A09373" w:themeColor="accent4"/>
              <w:right w:val="single" w:sz="4" w:space="0" w:color="676978" w:themeColor="accent2"/>
            </w:tcBorders>
            <w:shd w:val="clear" w:color="auto" w:fill="auto"/>
            <w:hideMark/>
          </w:tcPr>
          <w:p w14:paraId="0679D696"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11BB2EFA" w14:textId="77777777" w:rsidTr="00DD02FC">
        <w:trPr>
          <w:trHeight w:val="255"/>
        </w:trPr>
        <w:tc>
          <w:tcPr>
            <w:tcW w:w="566" w:type="dxa"/>
            <w:tcBorders>
              <w:top w:val="dashed" w:sz="4" w:space="0" w:color="A09373" w:themeColor="accent4"/>
              <w:left w:val="single" w:sz="4" w:space="0" w:color="676978" w:themeColor="accent2"/>
              <w:bottom w:val="dashed" w:sz="4" w:space="0" w:color="A09373" w:themeColor="accent4"/>
              <w:right w:val="dashed" w:sz="4" w:space="0" w:color="A09373" w:themeColor="accent4"/>
            </w:tcBorders>
            <w:shd w:val="clear" w:color="auto" w:fill="auto"/>
            <w:hideMark/>
          </w:tcPr>
          <w:p w14:paraId="642E652B"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3.7</w:t>
            </w:r>
          </w:p>
        </w:tc>
        <w:tc>
          <w:tcPr>
            <w:tcW w:w="6517" w:type="dxa"/>
            <w:tcBorders>
              <w:top w:val="dashed" w:sz="4" w:space="0" w:color="A09373" w:themeColor="accent4"/>
              <w:left w:val="dashed" w:sz="4" w:space="0" w:color="A09373" w:themeColor="accent4"/>
              <w:bottom w:val="dashed" w:sz="4" w:space="0" w:color="A09373" w:themeColor="accent4"/>
              <w:right w:val="dashed" w:sz="4" w:space="0" w:color="A09373" w:themeColor="accent4"/>
            </w:tcBorders>
            <w:shd w:val="clear" w:color="auto" w:fill="auto"/>
            <w:hideMark/>
          </w:tcPr>
          <w:p w14:paraId="62EBFE55"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xml:space="preserve">Details of any agreed payments plans with suppliers. </w:t>
            </w:r>
          </w:p>
        </w:tc>
        <w:tc>
          <w:tcPr>
            <w:tcW w:w="3137" w:type="dxa"/>
            <w:tcBorders>
              <w:top w:val="dashed" w:sz="4" w:space="0" w:color="A09373" w:themeColor="accent4"/>
              <w:left w:val="dashed" w:sz="4" w:space="0" w:color="A09373" w:themeColor="accent4"/>
              <w:bottom w:val="dashed" w:sz="4" w:space="0" w:color="A09373" w:themeColor="accent4"/>
              <w:right w:val="single" w:sz="4" w:space="0" w:color="676978" w:themeColor="accent2"/>
            </w:tcBorders>
            <w:shd w:val="clear" w:color="auto" w:fill="auto"/>
            <w:hideMark/>
          </w:tcPr>
          <w:p w14:paraId="296B3ACA"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31908B95" w14:textId="77777777" w:rsidTr="00DD02FC">
        <w:trPr>
          <w:trHeight w:val="255"/>
        </w:trPr>
        <w:tc>
          <w:tcPr>
            <w:tcW w:w="566" w:type="dxa"/>
            <w:tcBorders>
              <w:top w:val="dashed" w:sz="4" w:space="0" w:color="A09373" w:themeColor="accent4"/>
              <w:left w:val="single" w:sz="4" w:space="0" w:color="676978" w:themeColor="accent2"/>
              <w:bottom w:val="dashed" w:sz="4" w:space="0" w:color="A09373" w:themeColor="accent4"/>
              <w:right w:val="dashed" w:sz="4" w:space="0" w:color="A09373" w:themeColor="accent4"/>
            </w:tcBorders>
            <w:shd w:val="clear" w:color="auto" w:fill="auto"/>
            <w:hideMark/>
          </w:tcPr>
          <w:p w14:paraId="5505ED42"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3.8</w:t>
            </w:r>
          </w:p>
        </w:tc>
        <w:tc>
          <w:tcPr>
            <w:tcW w:w="6517" w:type="dxa"/>
            <w:tcBorders>
              <w:top w:val="dashed" w:sz="4" w:space="0" w:color="A09373" w:themeColor="accent4"/>
              <w:left w:val="dashed" w:sz="4" w:space="0" w:color="A09373" w:themeColor="accent4"/>
              <w:bottom w:val="dashed" w:sz="4" w:space="0" w:color="A09373" w:themeColor="accent4"/>
              <w:right w:val="dashed" w:sz="4" w:space="0" w:color="A09373" w:themeColor="accent4"/>
            </w:tcBorders>
            <w:shd w:val="clear" w:color="auto" w:fill="auto"/>
            <w:hideMark/>
          </w:tcPr>
          <w:p w14:paraId="5F6BDEE8"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xml:space="preserve">Details of any large </w:t>
            </w:r>
            <w:proofErr w:type="gramStart"/>
            <w:r w:rsidRPr="00FE0A8D">
              <w:rPr>
                <w:rFonts w:ascii="Tahoma" w:eastAsia="Times New Roman" w:hAnsi="Tahoma" w:cs="Tahoma"/>
                <w:color w:val="333F48"/>
                <w:sz w:val="18"/>
                <w:szCs w:val="18"/>
                <w:lang w:eastAsia="en-GB"/>
              </w:rPr>
              <w:t>one off</w:t>
            </w:r>
            <w:proofErr w:type="gramEnd"/>
            <w:r w:rsidRPr="00FE0A8D">
              <w:rPr>
                <w:rFonts w:ascii="Tahoma" w:eastAsia="Times New Roman" w:hAnsi="Tahoma" w:cs="Tahoma"/>
                <w:color w:val="333F48"/>
                <w:sz w:val="18"/>
                <w:szCs w:val="18"/>
                <w:lang w:eastAsia="en-GB"/>
              </w:rPr>
              <w:t xml:space="preserve"> receipts and payments </w:t>
            </w:r>
          </w:p>
        </w:tc>
        <w:tc>
          <w:tcPr>
            <w:tcW w:w="3137" w:type="dxa"/>
            <w:tcBorders>
              <w:top w:val="dashed" w:sz="4" w:space="0" w:color="A09373" w:themeColor="accent4"/>
              <w:left w:val="dashed" w:sz="4" w:space="0" w:color="A09373" w:themeColor="accent4"/>
              <w:bottom w:val="dashed" w:sz="4" w:space="0" w:color="A09373" w:themeColor="accent4"/>
              <w:right w:val="single" w:sz="4" w:space="0" w:color="676978" w:themeColor="accent2"/>
            </w:tcBorders>
            <w:shd w:val="clear" w:color="auto" w:fill="auto"/>
            <w:hideMark/>
          </w:tcPr>
          <w:p w14:paraId="3FBC302A"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32F72808" w14:textId="77777777" w:rsidTr="00DD02FC">
        <w:trPr>
          <w:trHeight w:val="255"/>
        </w:trPr>
        <w:tc>
          <w:tcPr>
            <w:tcW w:w="566" w:type="dxa"/>
            <w:tcBorders>
              <w:top w:val="dashed" w:sz="4" w:space="0" w:color="A09373" w:themeColor="accent4"/>
              <w:left w:val="single" w:sz="4" w:space="0" w:color="676978" w:themeColor="accent2"/>
              <w:bottom w:val="dashed" w:sz="4" w:space="0" w:color="A09373" w:themeColor="accent4"/>
              <w:right w:val="dashed" w:sz="4" w:space="0" w:color="A09373" w:themeColor="accent4"/>
            </w:tcBorders>
            <w:shd w:val="clear" w:color="auto" w:fill="auto"/>
            <w:hideMark/>
          </w:tcPr>
          <w:p w14:paraId="1147A22E"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3.9</w:t>
            </w:r>
          </w:p>
        </w:tc>
        <w:tc>
          <w:tcPr>
            <w:tcW w:w="6517" w:type="dxa"/>
            <w:tcBorders>
              <w:top w:val="dashed" w:sz="4" w:space="0" w:color="A09373" w:themeColor="accent4"/>
              <w:left w:val="dashed" w:sz="4" w:space="0" w:color="A09373" w:themeColor="accent4"/>
              <w:bottom w:val="dashed" w:sz="4" w:space="0" w:color="A09373" w:themeColor="accent4"/>
              <w:right w:val="dashed" w:sz="4" w:space="0" w:color="A09373" w:themeColor="accent4"/>
            </w:tcBorders>
            <w:shd w:val="clear" w:color="auto" w:fill="auto"/>
            <w:hideMark/>
          </w:tcPr>
          <w:p w14:paraId="04258A64"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Details of any large regular payments such as rent and insurance</w:t>
            </w:r>
          </w:p>
        </w:tc>
        <w:tc>
          <w:tcPr>
            <w:tcW w:w="3137" w:type="dxa"/>
            <w:tcBorders>
              <w:top w:val="dashed" w:sz="4" w:space="0" w:color="A09373" w:themeColor="accent4"/>
              <w:left w:val="dashed" w:sz="4" w:space="0" w:color="A09373" w:themeColor="accent4"/>
              <w:bottom w:val="dashed" w:sz="4" w:space="0" w:color="A09373" w:themeColor="accent4"/>
              <w:right w:val="single" w:sz="4" w:space="0" w:color="676978" w:themeColor="accent2"/>
            </w:tcBorders>
            <w:shd w:val="clear" w:color="auto" w:fill="auto"/>
            <w:hideMark/>
          </w:tcPr>
          <w:p w14:paraId="01303F40"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533B5161" w14:textId="77777777" w:rsidTr="00DD02FC">
        <w:trPr>
          <w:trHeight w:val="255"/>
        </w:trPr>
        <w:tc>
          <w:tcPr>
            <w:tcW w:w="566" w:type="dxa"/>
            <w:tcBorders>
              <w:top w:val="dashed" w:sz="4" w:space="0" w:color="A09373" w:themeColor="accent4"/>
              <w:left w:val="single" w:sz="4" w:space="0" w:color="676978" w:themeColor="accent2"/>
              <w:bottom w:val="single" w:sz="4" w:space="0" w:color="676978" w:themeColor="accent2"/>
              <w:right w:val="dashed" w:sz="4" w:space="0" w:color="A09373" w:themeColor="accent4"/>
            </w:tcBorders>
            <w:shd w:val="clear" w:color="auto" w:fill="auto"/>
            <w:hideMark/>
          </w:tcPr>
          <w:p w14:paraId="4EC79412"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3.10</w:t>
            </w:r>
          </w:p>
        </w:tc>
        <w:tc>
          <w:tcPr>
            <w:tcW w:w="6517" w:type="dxa"/>
            <w:tcBorders>
              <w:top w:val="dashed" w:sz="4" w:space="0" w:color="A09373" w:themeColor="accent4"/>
              <w:left w:val="dashed" w:sz="4" w:space="0" w:color="A09373" w:themeColor="accent4"/>
              <w:bottom w:val="single" w:sz="4" w:space="0" w:color="676978" w:themeColor="accent2"/>
              <w:right w:val="dashed" w:sz="4" w:space="0" w:color="A09373" w:themeColor="accent4"/>
            </w:tcBorders>
            <w:shd w:val="clear" w:color="auto" w:fill="auto"/>
            <w:hideMark/>
          </w:tcPr>
          <w:p w14:paraId="598861B9"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Anticipated weekly sales for the next 13 weeks</w:t>
            </w:r>
          </w:p>
        </w:tc>
        <w:tc>
          <w:tcPr>
            <w:tcW w:w="3137" w:type="dxa"/>
            <w:tcBorders>
              <w:top w:val="dashed" w:sz="4" w:space="0" w:color="A09373" w:themeColor="accent4"/>
              <w:left w:val="dashed" w:sz="4" w:space="0" w:color="A09373" w:themeColor="accent4"/>
              <w:bottom w:val="single" w:sz="4" w:space="0" w:color="676978" w:themeColor="accent2"/>
              <w:right w:val="single" w:sz="4" w:space="0" w:color="676978" w:themeColor="accent2"/>
            </w:tcBorders>
            <w:shd w:val="clear" w:color="auto" w:fill="auto"/>
            <w:hideMark/>
          </w:tcPr>
          <w:p w14:paraId="5B4077A8"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7764F492" w14:textId="77777777" w:rsidTr="00DD02FC">
        <w:trPr>
          <w:trHeight w:val="452"/>
        </w:trPr>
        <w:tc>
          <w:tcPr>
            <w:tcW w:w="566" w:type="dxa"/>
            <w:tcBorders>
              <w:top w:val="single" w:sz="4" w:space="0" w:color="676978" w:themeColor="accent2"/>
              <w:left w:val="single" w:sz="4" w:space="0" w:color="676978" w:themeColor="accent2"/>
              <w:bottom w:val="single" w:sz="4" w:space="0" w:color="676978" w:themeColor="accent2"/>
              <w:right w:val="nil"/>
            </w:tcBorders>
            <w:shd w:val="clear" w:color="auto" w:fill="C6D1DB" w:themeFill="accent3" w:themeFillTint="66"/>
            <w:noWrap/>
            <w:vAlign w:val="center"/>
            <w:hideMark/>
          </w:tcPr>
          <w:p w14:paraId="64C406FE" w14:textId="77777777" w:rsidR="00DD02FC" w:rsidRPr="00C11389" w:rsidRDefault="00DD02FC" w:rsidP="00DD02FC">
            <w:pPr>
              <w:spacing w:before="120" w:after="120" w:line="240" w:lineRule="auto"/>
              <w:rPr>
                <w:rFonts w:ascii="Tahoma" w:eastAsia="Times New Roman" w:hAnsi="Tahoma" w:cs="Tahoma"/>
                <w:b/>
                <w:bCs/>
                <w:color w:val="333F48"/>
                <w:sz w:val="18"/>
                <w:szCs w:val="18"/>
                <w:lang w:eastAsia="en-GB"/>
              </w:rPr>
            </w:pPr>
            <w:r w:rsidRPr="00C11389">
              <w:rPr>
                <w:rFonts w:ascii="Tahoma" w:eastAsia="Times New Roman" w:hAnsi="Tahoma" w:cs="Tahoma"/>
                <w:b/>
                <w:bCs/>
                <w:color w:val="333F48"/>
                <w:sz w:val="18"/>
                <w:szCs w:val="18"/>
                <w:lang w:eastAsia="en-GB"/>
              </w:rPr>
              <w:t>4</w:t>
            </w:r>
          </w:p>
        </w:tc>
        <w:tc>
          <w:tcPr>
            <w:tcW w:w="9654" w:type="dxa"/>
            <w:gridSpan w:val="2"/>
            <w:tcBorders>
              <w:top w:val="single" w:sz="4" w:space="0" w:color="676978" w:themeColor="accent2"/>
              <w:left w:val="nil"/>
              <w:bottom w:val="single" w:sz="4" w:space="0" w:color="676978" w:themeColor="accent2"/>
              <w:right w:val="single" w:sz="4" w:space="0" w:color="676978" w:themeColor="accent2"/>
            </w:tcBorders>
            <w:shd w:val="clear" w:color="auto" w:fill="C6D1DB" w:themeFill="accent3" w:themeFillTint="66"/>
            <w:noWrap/>
            <w:vAlign w:val="center"/>
            <w:hideMark/>
          </w:tcPr>
          <w:p w14:paraId="62B93CF8" w14:textId="45D297E3" w:rsidR="00DD02FC" w:rsidRPr="00DD02FC" w:rsidRDefault="00DD02FC" w:rsidP="00DD02FC">
            <w:pPr>
              <w:spacing w:before="120" w:after="120" w:line="240" w:lineRule="auto"/>
              <w:rPr>
                <w:rFonts w:ascii="Tahoma" w:eastAsia="Times New Roman" w:hAnsi="Tahoma" w:cs="Tahoma"/>
                <w:b/>
                <w:bCs/>
                <w:color w:val="333F48"/>
                <w:sz w:val="18"/>
                <w:szCs w:val="18"/>
                <w:lang w:eastAsia="en-GB"/>
              </w:rPr>
            </w:pPr>
            <w:r w:rsidRPr="00C11389">
              <w:rPr>
                <w:rFonts w:ascii="Tahoma" w:eastAsia="Times New Roman" w:hAnsi="Tahoma" w:cs="Tahoma"/>
                <w:b/>
                <w:bCs/>
                <w:color w:val="333F48"/>
                <w:sz w:val="18"/>
                <w:szCs w:val="18"/>
                <w:lang w:eastAsia="en-GB"/>
              </w:rPr>
              <w:t>Forecast financial information - current year outturn, and the next two financial years</w:t>
            </w:r>
          </w:p>
        </w:tc>
      </w:tr>
      <w:tr w:rsidR="00DD02FC" w:rsidRPr="00FE0A8D" w14:paraId="2EC1607B" w14:textId="77777777" w:rsidTr="00DD02FC">
        <w:trPr>
          <w:trHeight w:val="900"/>
        </w:trPr>
        <w:tc>
          <w:tcPr>
            <w:tcW w:w="566" w:type="dxa"/>
            <w:tcBorders>
              <w:top w:val="single" w:sz="4" w:space="0" w:color="676978" w:themeColor="accent2"/>
              <w:left w:val="single" w:sz="4" w:space="0" w:color="676978" w:themeColor="accent2"/>
              <w:bottom w:val="dashed" w:sz="4" w:space="0" w:color="A09373" w:themeColor="accent4"/>
              <w:right w:val="dashed" w:sz="4" w:space="0" w:color="A09373" w:themeColor="accent4"/>
            </w:tcBorders>
            <w:shd w:val="clear" w:color="auto" w:fill="auto"/>
            <w:hideMark/>
          </w:tcPr>
          <w:p w14:paraId="77077641"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4.1</w:t>
            </w:r>
          </w:p>
        </w:tc>
        <w:tc>
          <w:tcPr>
            <w:tcW w:w="6517" w:type="dxa"/>
            <w:tcBorders>
              <w:top w:val="single" w:sz="4" w:space="0" w:color="676978" w:themeColor="accent2"/>
              <w:left w:val="dashed" w:sz="4" w:space="0" w:color="A09373" w:themeColor="accent4"/>
              <w:bottom w:val="dashed" w:sz="4" w:space="0" w:color="A09373" w:themeColor="accent4"/>
              <w:right w:val="dashed" w:sz="4" w:space="0" w:color="A09373" w:themeColor="accent4"/>
            </w:tcBorders>
            <w:shd w:val="clear" w:color="auto" w:fill="auto"/>
            <w:hideMark/>
          </w:tcPr>
          <w:p w14:paraId="74508722" w14:textId="00A834BA"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xml:space="preserve">Company, and consolidated group (if applicable), monthly integrated financial forecast for the current year outturn, and the next two financial years. To include monthly profit and loss, balance sheets and cash flows. </w:t>
            </w:r>
            <w:r w:rsidR="006A579E">
              <w:rPr>
                <w:rFonts w:ascii="Tahoma" w:eastAsia="Times New Roman" w:hAnsi="Tahoma" w:cs="Tahoma"/>
                <w:color w:val="333F48"/>
                <w:sz w:val="18"/>
                <w:szCs w:val="18"/>
                <w:lang w:eastAsia="en-GB"/>
              </w:rPr>
              <w:t>O</w:t>
            </w:r>
            <w:r w:rsidRPr="00FE0A8D">
              <w:rPr>
                <w:rFonts w:ascii="Tahoma" w:eastAsia="Times New Roman" w:hAnsi="Tahoma" w:cs="Tahoma"/>
                <w:color w:val="333F48"/>
                <w:sz w:val="18"/>
                <w:szCs w:val="18"/>
                <w:lang w:eastAsia="en-GB"/>
              </w:rPr>
              <w:t>utline what assumptions have been used as the basis for the forecasts, such as basis for monthly sales, working capital (debtor, stock and creditor days), headcount changes etc</w:t>
            </w:r>
          </w:p>
        </w:tc>
        <w:tc>
          <w:tcPr>
            <w:tcW w:w="3137" w:type="dxa"/>
            <w:tcBorders>
              <w:top w:val="single" w:sz="4" w:space="0" w:color="676978" w:themeColor="accent2"/>
              <w:left w:val="dashed" w:sz="4" w:space="0" w:color="A09373" w:themeColor="accent4"/>
              <w:bottom w:val="dashed" w:sz="4" w:space="0" w:color="A09373" w:themeColor="accent4"/>
              <w:right w:val="single" w:sz="4" w:space="0" w:color="676978" w:themeColor="accent2"/>
            </w:tcBorders>
            <w:shd w:val="clear" w:color="auto" w:fill="auto"/>
            <w:hideMark/>
          </w:tcPr>
          <w:p w14:paraId="1E2FE719"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14DAC7BF" w14:textId="77777777" w:rsidTr="00DD02FC">
        <w:trPr>
          <w:trHeight w:val="450"/>
        </w:trPr>
        <w:tc>
          <w:tcPr>
            <w:tcW w:w="566" w:type="dxa"/>
            <w:tcBorders>
              <w:top w:val="dashed" w:sz="4" w:space="0" w:color="A09373" w:themeColor="accent4"/>
              <w:left w:val="single" w:sz="4" w:space="0" w:color="676978" w:themeColor="accent2"/>
              <w:bottom w:val="dashed" w:sz="4" w:space="0" w:color="A09373" w:themeColor="accent4"/>
              <w:right w:val="dashed" w:sz="4" w:space="0" w:color="A09373" w:themeColor="accent4"/>
            </w:tcBorders>
            <w:shd w:val="clear" w:color="auto" w:fill="auto"/>
            <w:hideMark/>
          </w:tcPr>
          <w:p w14:paraId="4B9F2394"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4.2</w:t>
            </w:r>
          </w:p>
        </w:tc>
        <w:tc>
          <w:tcPr>
            <w:tcW w:w="6517" w:type="dxa"/>
            <w:tcBorders>
              <w:top w:val="dashed" w:sz="4" w:space="0" w:color="A09373" w:themeColor="accent4"/>
              <w:left w:val="dashed" w:sz="4" w:space="0" w:color="A09373" w:themeColor="accent4"/>
              <w:bottom w:val="dashed" w:sz="4" w:space="0" w:color="A09373" w:themeColor="accent4"/>
              <w:right w:val="dashed" w:sz="4" w:space="0" w:color="A09373" w:themeColor="accent4"/>
            </w:tcBorders>
            <w:shd w:val="clear" w:color="auto" w:fill="auto"/>
            <w:hideMark/>
          </w:tcPr>
          <w:p w14:paraId="3324B6E3"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Details of any cost reductions and synergies reflected in the forecast, and whether these have been implemented or to be implemented</w:t>
            </w:r>
          </w:p>
        </w:tc>
        <w:tc>
          <w:tcPr>
            <w:tcW w:w="3137" w:type="dxa"/>
            <w:tcBorders>
              <w:top w:val="dashed" w:sz="4" w:space="0" w:color="A09373" w:themeColor="accent4"/>
              <w:left w:val="dashed" w:sz="4" w:space="0" w:color="A09373" w:themeColor="accent4"/>
              <w:bottom w:val="dashed" w:sz="4" w:space="0" w:color="A09373" w:themeColor="accent4"/>
              <w:right w:val="single" w:sz="4" w:space="0" w:color="676978" w:themeColor="accent2"/>
            </w:tcBorders>
            <w:shd w:val="clear" w:color="auto" w:fill="auto"/>
            <w:hideMark/>
          </w:tcPr>
          <w:p w14:paraId="7CB708D5"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5B1FAE0B" w14:textId="77777777" w:rsidTr="00DD02FC">
        <w:trPr>
          <w:trHeight w:val="255"/>
        </w:trPr>
        <w:tc>
          <w:tcPr>
            <w:tcW w:w="566" w:type="dxa"/>
            <w:tcBorders>
              <w:top w:val="dashed" w:sz="4" w:space="0" w:color="A09373" w:themeColor="accent4"/>
              <w:left w:val="single" w:sz="4" w:space="0" w:color="676978" w:themeColor="accent2"/>
              <w:bottom w:val="dashed" w:sz="4" w:space="0" w:color="A09373" w:themeColor="accent4"/>
              <w:right w:val="dashed" w:sz="4" w:space="0" w:color="A09373" w:themeColor="accent4"/>
            </w:tcBorders>
            <w:shd w:val="clear" w:color="auto" w:fill="auto"/>
            <w:hideMark/>
          </w:tcPr>
          <w:p w14:paraId="282DA150"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4.3</w:t>
            </w:r>
          </w:p>
        </w:tc>
        <w:tc>
          <w:tcPr>
            <w:tcW w:w="6517" w:type="dxa"/>
            <w:tcBorders>
              <w:top w:val="dashed" w:sz="4" w:space="0" w:color="A09373" w:themeColor="accent4"/>
              <w:left w:val="dashed" w:sz="4" w:space="0" w:color="A09373" w:themeColor="accent4"/>
              <w:bottom w:val="dashed" w:sz="4" w:space="0" w:color="A09373" w:themeColor="accent4"/>
              <w:right w:val="dashed" w:sz="4" w:space="0" w:color="A09373" w:themeColor="accent4"/>
            </w:tcBorders>
            <w:shd w:val="clear" w:color="auto" w:fill="auto"/>
            <w:hideMark/>
          </w:tcPr>
          <w:p w14:paraId="79923301"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Details of any planned capital expenditure in the forecast period</w:t>
            </w:r>
          </w:p>
        </w:tc>
        <w:tc>
          <w:tcPr>
            <w:tcW w:w="3137" w:type="dxa"/>
            <w:tcBorders>
              <w:top w:val="dashed" w:sz="4" w:space="0" w:color="A09373" w:themeColor="accent4"/>
              <w:left w:val="dashed" w:sz="4" w:space="0" w:color="A09373" w:themeColor="accent4"/>
              <w:bottom w:val="dashed" w:sz="4" w:space="0" w:color="A09373" w:themeColor="accent4"/>
              <w:right w:val="single" w:sz="4" w:space="0" w:color="676978" w:themeColor="accent2"/>
            </w:tcBorders>
            <w:shd w:val="clear" w:color="auto" w:fill="auto"/>
            <w:hideMark/>
          </w:tcPr>
          <w:p w14:paraId="53436251"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7A586283" w14:textId="77777777" w:rsidTr="00DD02FC">
        <w:trPr>
          <w:trHeight w:val="255"/>
        </w:trPr>
        <w:tc>
          <w:tcPr>
            <w:tcW w:w="566" w:type="dxa"/>
            <w:tcBorders>
              <w:top w:val="dashed" w:sz="4" w:space="0" w:color="A09373" w:themeColor="accent4"/>
              <w:left w:val="single" w:sz="4" w:space="0" w:color="676978" w:themeColor="accent2"/>
              <w:bottom w:val="single" w:sz="4" w:space="0" w:color="676978" w:themeColor="accent2"/>
              <w:right w:val="dashed" w:sz="4" w:space="0" w:color="A09373" w:themeColor="accent4"/>
            </w:tcBorders>
            <w:shd w:val="clear" w:color="auto" w:fill="auto"/>
            <w:hideMark/>
          </w:tcPr>
          <w:p w14:paraId="6964B60F"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4.4</w:t>
            </w:r>
          </w:p>
        </w:tc>
        <w:tc>
          <w:tcPr>
            <w:tcW w:w="6517" w:type="dxa"/>
            <w:tcBorders>
              <w:top w:val="dashed" w:sz="4" w:space="0" w:color="A09373" w:themeColor="accent4"/>
              <w:left w:val="dashed" w:sz="4" w:space="0" w:color="A09373" w:themeColor="accent4"/>
              <w:bottom w:val="single" w:sz="4" w:space="0" w:color="676978" w:themeColor="accent2"/>
              <w:right w:val="dashed" w:sz="4" w:space="0" w:color="A09373" w:themeColor="accent4"/>
            </w:tcBorders>
            <w:shd w:val="clear" w:color="auto" w:fill="auto"/>
            <w:hideMark/>
          </w:tcPr>
          <w:p w14:paraId="57A94406"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If applicable, Management's forecast covenant workings, including add-backs to EBITDA, for the forecast period</w:t>
            </w:r>
          </w:p>
        </w:tc>
        <w:tc>
          <w:tcPr>
            <w:tcW w:w="3137" w:type="dxa"/>
            <w:tcBorders>
              <w:top w:val="dashed" w:sz="4" w:space="0" w:color="A09373" w:themeColor="accent4"/>
              <w:left w:val="dashed" w:sz="4" w:space="0" w:color="A09373" w:themeColor="accent4"/>
              <w:bottom w:val="single" w:sz="4" w:space="0" w:color="676978" w:themeColor="accent2"/>
              <w:right w:val="single" w:sz="4" w:space="0" w:color="676978" w:themeColor="accent2"/>
            </w:tcBorders>
            <w:shd w:val="clear" w:color="auto" w:fill="auto"/>
            <w:hideMark/>
          </w:tcPr>
          <w:p w14:paraId="047AE964"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1DC20320" w14:textId="77777777" w:rsidTr="00DD02FC">
        <w:trPr>
          <w:trHeight w:val="454"/>
        </w:trPr>
        <w:tc>
          <w:tcPr>
            <w:tcW w:w="566" w:type="dxa"/>
            <w:tcBorders>
              <w:top w:val="single" w:sz="4" w:space="0" w:color="676978" w:themeColor="accent2"/>
              <w:left w:val="single" w:sz="4" w:space="0" w:color="676978" w:themeColor="accent2"/>
              <w:bottom w:val="single" w:sz="4" w:space="0" w:color="676978" w:themeColor="accent2"/>
              <w:right w:val="nil"/>
            </w:tcBorders>
            <w:shd w:val="clear" w:color="auto" w:fill="C6D1DB" w:themeFill="accent3" w:themeFillTint="66"/>
            <w:noWrap/>
            <w:vAlign w:val="center"/>
            <w:hideMark/>
          </w:tcPr>
          <w:p w14:paraId="1CD6E400" w14:textId="77777777" w:rsidR="00DD02FC" w:rsidRPr="00C11389" w:rsidRDefault="00DD02FC" w:rsidP="00DD02FC">
            <w:pPr>
              <w:spacing w:before="120" w:after="120" w:line="240" w:lineRule="auto"/>
              <w:rPr>
                <w:rFonts w:ascii="Tahoma" w:eastAsia="Times New Roman" w:hAnsi="Tahoma" w:cs="Tahoma"/>
                <w:b/>
                <w:bCs/>
                <w:color w:val="333F48"/>
                <w:sz w:val="18"/>
                <w:szCs w:val="18"/>
                <w:lang w:eastAsia="en-GB"/>
              </w:rPr>
            </w:pPr>
            <w:r w:rsidRPr="00C11389">
              <w:rPr>
                <w:rFonts w:ascii="Tahoma" w:eastAsia="Times New Roman" w:hAnsi="Tahoma" w:cs="Tahoma"/>
                <w:b/>
                <w:bCs/>
                <w:color w:val="333F48"/>
                <w:sz w:val="18"/>
                <w:szCs w:val="18"/>
                <w:lang w:eastAsia="en-GB"/>
              </w:rPr>
              <w:t>5</w:t>
            </w:r>
          </w:p>
        </w:tc>
        <w:tc>
          <w:tcPr>
            <w:tcW w:w="9654" w:type="dxa"/>
            <w:gridSpan w:val="2"/>
            <w:tcBorders>
              <w:top w:val="single" w:sz="4" w:space="0" w:color="676978" w:themeColor="accent2"/>
              <w:left w:val="nil"/>
              <w:bottom w:val="single" w:sz="4" w:space="0" w:color="676978" w:themeColor="accent2"/>
              <w:right w:val="single" w:sz="4" w:space="0" w:color="676978" w:themeColor="accent2"/>
            </w:tcBorders>
            <w:shd w:val="clear" w:color="auto" w:fill="C6D1DB" w:themeFill="accent3" w:themeFillTint="66"/>
            <w:noWrap/>
            <w:vAlign w:val="center"/>
            <w:hideMark/>
          </w:tcPr>
          <w:p w14:paraId="6822E542" w14:textId="5F2A33A1" w:rsidR="00DD02FC" w:rsidRPr="00DD02FC" w:rsidRDefault="00DD02FC" w:rsidP="00DD02FC">
            <w:pPr>
              <w:spacing w:before="120" w:after="120" w:line="240" w:lineRule="auto"/>
              <w:rPr>
                <w:rFonts w:ascii="Tahoma" w:eastAsia="Times New Roman" w:hAnsi="Tahoma" w:cs="Tahoma"/>
                <w:b/>
                <w:bCs/>
                <w:color w:val="333F48"/>
                <w:sz w:val="18"/>
                <w:szCs w:val="18"/>
                <w:lang w:eastAsia="en-GB"/>
              </w:rPr>
            </w:pPr>
            <w:r w:rsidRPr="00C11389">
              <w:rPr>
                <w:rFonts w:ascii="Tahoma" w:eastAsia="Times New Roman" w:hAnsi="Tahoma" w:cs="Tahoma"/>
                <w:b/>
                <w:bCs/>
                <w:color w:val="333F48"/>
                <w:sz w:val="18"/>
                <w:szCs w:val="18"/>
                <w:lang w:eastAsia="en-GB"/>
              </w:rPr>
              <w:t>COVID-19 specific information</w:t>
            </w:r>
          </w:p>
        </w:tc>
      </w:tr>
      <w:tr w:rsidR="00DD02FC" w:rsidRPr="00FE0A8D" w14:paraId="5C965C23" w14:textId="77777777" w:rsidTr="00DD02FC">
        <w:trPr>
          <w:trHeight w:val="450"/>
        </w:trPr>
        <w:tc>
          <w:tcPr>
            <w:tcW w:w="566" w:type="dxa"/>
            <w:tcBorders>
              <w:top w:val="single" w:sz="4" w:space="0" w:color="676978" w:themeColor="accent2"/>
              <w:left w:val="single" w:sz="4" w:space="0" w:color="676978" w:themeColor="accent2"/>
              <w:bottom w:val="dashed" w:sz="4" w:space="0" w:color="A09373" w:themeColor="accent4"/>
              <w:right w:val="dashed" w:sz="4" w:space="0" w:color="A09373" w:themeColor="accent4"/>
            </w:tcBorders>
            <w:shd w:val="clear" w:color="auto" w:fill="auto"/>
            <w:hideMark/>
          </w:tcPr>
          <w:p w14:paraId="36FE968D"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5.1</w:t>
            </w:r>
          </w:p>
        </w:tc>
        <w:tc>
          <w:tcPr>
            <w:tcW w:w="6517" w:type="dxa"/>
            <w:tcBorders>
              <w:top w:val="single" w:sz="4" w:space="0" w:color="676978" w:themeColor="accent2"/>
              <w:left w:val="dashed" w:sz="4" w:space="0" w:color="A09373" w:themeColor="accent4"/>
              <w:bottom w:val="dashed" w:sz="4" w:space="0" w:color="A09373" w:themeColor="accent4"/>
              <w:right w:val="dashed" w:sz="4" w:space="0" w:color="A09373" w:themeColor="accent4"/>
            </w:tcBorders>
            <w:shd w:val="clear" w:color="auto" w:fill="auto"/>
            <w:hideMark/>
          </w:tcPr>
          <w:p w14:paraId="5FE27457"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Schedule of all payment holidays to be utilised - including, but not limited to, rent payments, HMRC payments (VAT, PAYE, corporation tax), interest and capital payments to lenders, trade creditor payments</w:t>
            </w:r>
          </w:p>
        </w:tc>
        <w:tc>
          <w:tcPr>
            <w:tcW w:w="3137" w:type="dxa"/>
            <w:tcBorders>
              <w:top w:val="single" w:sz="4" w:space="0" w:color="676978" w:themeColor="accent2"/>
              <w:left w:val="dashed" w:sz="4" w:space="0" w:color="A09373" w:themeColor="accent4"/>
              <w:bottom w:val="dashed" w:sz="4" w:space="0" w:color="A09373" w:themeColor="accent4"/>
              <w:right w:val="single" w:sz="4" w:space="0" w:color="676978" w:themeColor="accent2"/>
            </w:tcBorders>
            <w:shd w:val="clear" w:color="auto" w:fill="auto"/>
            <w:hideMark/>
          </w:tcPr>
          <w:p w14:paraId="51A25B53"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595799F7" w14:textId="77777777" w:rsidTr="00DD02FC">
        <w:trPr>
          <w:trHeight w:val="450"/>
        </w:trPr>
        <w:tc>
          <w:tcPr>
            <w:tcW w:w="566" w:type="dxa"/>
            <w:tcBorders>
              <w:top w:val="dashed" w:sz="4" w:space="0" w:color="A09373" w:themeColor="accent4"/>
              <w:left w:val="single" w:sz="4" w:space="0" w:color="676978" w:themeColor="accent2"/>
              <w:bottom w:val="dashed" w:sz="4" w:space="0" w:color="A09373" w:themeColor="accent4"/>
              <w:right w:val="dashed" w:sz="4" w:space="0" w:color="A09373" w:themeColor="accent4"/>
            </w:tcBorders>
            <w:shd w:val="clear" w:color="auto" w:fill="auto"/>
            <w:hideMark/>
          </w:tcPr>
          <w:p w14:paraId="0F599484"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5.2</w:t>
            </w:r>
          </w:p>
        </w:tc>
        <w:tc>
          <w:tcPr>
            <w:tcW w:w="6517" w:type="dxa"/>
            <w:tcBorders>
              <w:top w:val="dashed" w:sz="4" w:space="0" w:color="A09373" w:themeColor="accent4"/>
              <w:left w:val="dashed" w:sz="4" w:space="0" w:color="A09373" w:themeColor="accent4"/>
              <w:bottom w:val="dashed" w:sz="4" w:space="0" w:color="A09373" w:themeColor="accent4"/>
              <w:right w:val="dashed" w:sz="4" w:space="0" w:color="A09373" w:themeColor="accent4"/>
            </w:tcBorders>
            <w:shd w:val="clear" w:color="auto" w:fill="auto"/>
            <w:hideMark/>
          </w:tcPr>
          <w:p w14:paraId="7AA351B5"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Schedule of doubtful or extended debts due or to become due that are unlikely to be received as a result of COVID-19</w:t>
            </w:r>
          </w:p>
        </w:tc>
        <w:tc>
          <w:tcPr>
            <w:tcW w:w="3137" w:type="dxa"/>
            <w:tcBorders>
              <w:top w:val="dashed" w:sz="4" w:space="0" w:color="A09373" w:themeColor="accent4"/>
              <w:left w:val="dashed" w:sz="4" w:space="0" w:color="A09373" w:themeColor="accent4"/>
              <w:bottom w:val="dashed" w:sz="4" w:space="0" w:color="A09373" w:themeColor="accent4"/>
              <w:right w:val="single" w:sz="4" w:space="0" w:color="676978" w:themeColor="accent2"/>
            </w:tcBorders>
            <w:shd w:val="clear" w:color="auto" w:fill="auto"/>
            <w:hideMark/>
          </w:tcPr>
          <w:p w14:paraId="3A047DB7"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5A2CFF95" w14:textId="77777777" w:rsidTr="00DD02FC">
        <w:trPr>
          <w:trHeight w:val="450"/>
        </w:trPr>
        <w:tc>
          <w:tcPr>
            <w:tcW w:w="566" w:type="dxa"/>
            <w:tcBorders>
              <w:top w:val="dashed" w:sz="4" w:space="0" w:color="A09373" w:themeColor="accent4"/>
              <w:left w:val="single" w:sz="4" w:space="0" w:color="676978" w:themeColor="accent2"/>
              <w:bottom w:val="dashed" w:sz="4" w:space="0" w:color="A09373" w:themeColor="accent4"/>
              <w:right w:val="dashed" w:sz="4" w:space="0" w:color="A09373" w:themeColor="accent4"/>
            </w:tcBorders>
            <w:shd w:val="clear" w:color="auto" w:fill="auto"/>
            <w:noWrap/>
            <w:hideMark/>
          </w:tcPr>
          <w:p w14:paraId="10BA7352"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5.3</w:t>
            </w:r>
          </w:p>
        </w:tc>
        <w:tc>
          <w:tcPr>
            <w:tcW w:w="6517" w:type="dxa"/>
            <w:tcBorders>
              <w:top w:val="dashed" w:sz="4" w:space="0" w:color="A09373" w:themeColor="accent4"/>
              <w:left w:val="dashed" w:sz="4" w:space="0" w:color="A09373" w:themeColor="accent4"/>
              <w:bottom w:val="dashed" w:sz="4" w:space="0" w:color="A09373" w:themeColor="accent4"/>
              <w:right w:val="dashed" w:sz="4" w:space="0" w:color="A09373" w:themeColor="accent4"/>
            </w:tcBorders>
            <w:shd w:val="clear" w:color="auto" w:fill="auto"/>
            <w:hideMark/>
          </w:tcPr>
          <w:p w14:paraId="5BE6DB6B"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Details of payments to be received under the Government's COVID-19 job retention scheme, and payments relating to the Government's furlough scheme</w:t>
            </w:r>
          </w:p>
        </w:tc>
        <w:tc>
          <w:tcPr>
            <w:tcW w:w="3137" w:type="dxa"/>
            <w:tcBorders>
              <w:top w:val="dashed" w:sz="4" w:space="0" w:color="A09373" w:themeColor="accent4"/>
              <w:left w:val="dashed" w:sz="4" w:space="0" w:color="A09373" w:themeColor="accent4"/>
              <w:bottom w:val="dashed" w:sz="4" w:space="0" w:color="A09373" w:themeColor="accent4"/>
              <w:right w:val="single" w:sz="4" w:space="0" w:color="676978" w:themeColor="accent2"/>
            </w:tcBorders>
            <w:shd w:val="clear" w:color="auto" w:fill="auto"/>
            <w:hideMark/>
          </w:tcPr>
          <w:p w14:paraId="3AA4AA7B"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4F90B276" w14:textId="77777777" w:rsidTr="00DD02FC">
        <w:trPr>
          <w:trHeight w:val="255"/>
        </w:trPr>
        <w:tc>
          <w:tcPr>
            <w:tcW w:w="566" w:type="dxa"/>
            <w:tcBorders>
              <w:top w:val="dashed" w:sz="4" w:space="0" w:color="A09373" w:themeColor="accent4"/>
              <w:left w:val="single" w:sz="4" w:space="0" w:color="676978" w:themeColor="accent2"/>
              <w:bottom w:val="dashed" w:sz="4" w:space="0" w:color="A09373" w:themeColor="accent4"/>
              <w:right w:val="dashed" w:sz="4" w:space="0" w:color="A09373" w:themeColor="accent4"/>
            </w:tcBorders>
            <w:shd w:val="clear" w:color="auto" w:fill="auto"/>
            <w:noWrap/>
            <w:hideMark/>
          </w:tcPr>
          <w:p w14:paraId="0B55DB3D"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5.4</w:t>
            </w:r>
          </w:p>
        </w:tc>
        <w:tc>
          <w:tcPr>
            <w:tcW w:w="6517" w:type="dxa"/>
            <w:tcBorders>
              <w:top w:val="dashed" w:sz="4" w:space="0" w:color="A09373" w:themeColor="accent4"/>
              <w:left w:val="dashed" w:sz="4" w:space="0" w:color="A09373" w:themeColor="accent4"/>
              <w:bottom w:val="dashed" w:sz="4" w:space="0" w:color="A09373" w:themeColor="accent4"/>
              <w:right w:val="dashed" w:sz="4" w:space="0" w:color="A09373" w:themeColor="accent4"/>
            </w:tcBorders>
            <w:shd w:val="clear" w:color="auto" w:fill="auto"/>
            <w:hideMark/>
          </w:tcPr>
          <w:p w14:paraId="77C85A0B"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Details of business rates relief, if applicable</w:t>
            </w:r>
          </w:p>
        </w:tc>
        <w:tc>
          <w:tcPr>
            <w:tcW w:w="3137" w:type="dxa"/>
            <w:tcBorders>
              <w:top w:val="dashed" w:sz="4" w:space="0" w:color="A09373" w:themeColor="accent4"/>
              <w:left w:val="dashed" w:sz="4" w:space="0" w:color="A09373" w:themeColor="accent4"/>
              <w:bottom w:val="dashed" w:sz="4" w:space="0" w:color="A09373" w:themeColor="accent4"/>
              <w:right w:val="single" w:sz="4" w:space="0" w:color="676978" w:themeColor="accent2"/>
            </w:tcBorders>
            <w:shd w:val="clear" w:color="auto" w:fill="auto"/>
            <w:hideMark/>
          </w:tcPr>
          <w:p w14:paraId="3A5AFC60"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r w:rsidR="00DD02FC" w:rsidRPr="00FE0A8D" w14:paraId="3E8A8B36" w14:textId="77777777" w:rsidTr="00DD02FC">
        <w:trPr>
          <w:trHeight w:val="225"/>
        </w:trPr>
        <w:tc>
          <w:tcPr>
            <w:tcW w:w="566" w:type="dxa"/>
            <w:tcBorders>
              <w:top w:val="dashed" w:sz="4" w:space="0" w:color="A09373" w:themeColor="accent4"/>
              <w:left w:val="single" w:sz="4" w:space="0" w:color="676978" w:themeColor="accent2"/>
              <w:bottom w:val="single" w:sz="4" w:space="0" w:color="676978" w:themeColor="accent2"/>
              <w:right w:val="dashed" w:sz="4" w:space="0" w:color="A09373" w:themeColor="accent4"/>
            </w:tcBorders>
            <w:shd w:val="clear" w:color="auto" w:fill="auto"/>
            <w:noWrap/>
            <w:hideMark/>
          </w:tcPr>
          <w:p w14:paraId="7D1B2C8F"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5.5</w:t>
            </w:r>
          </w:p>
        </w:tc>
        <w:tc>
          <w:tcPr>
            <w:tcW w:w="6517" w:type="dxa"/>
            <w:tcBorders>
              <w:top w:val="dashed" w:sz="4" w:space="0" w:color="A09373" w:themeColor="accent4"/>
              <w:left w:val="dashed" w:sz="4" w:space="0" w:color="A09373" w:themeColor="accent4"/>
              <w:bottom w:val="single" w:sz="4" w:space="0" w:color="676978" w:themeColor="accent2"/>
              <w:right w:val="dashed" w:sz="4" w:space="0" w:color="A09373" w:themeColor="accent4"/>
            </w:tcBorders>
            <w:shd w:val="clear" w:color="auto" w:fill="auto"/>
            <w:hideMark/>
          </w:tcPr>
          <w:p w14:paraId="16896609"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Details of any other Government grants or funding available to your company under the COVID-19 measures</w:t>
            </w:r>
          </w:p>
        </w:tc>
        <w:tc>
          <w:tcPr>
            <w:tcW w:w="3137" w:type="dxa"/>
            <w:tcBorders>
              <w:top w:val="dashed" w:sz="4" w:space="0" w:color="A09373" w:themeColor="accent4"/>
              <w:left w:val="dashed" w:sz="4" w:space="0" w:color="A09373" w:themeColor="accent4"/>
              <w:bottom w:val="single" w:sz="4" w:space="0" w:color="676978" w:themeColor="accent2"/>
              <w:right w:val="single" w:sz="4" w:space="0" w:color="676978" w:themeColor="accent2"/>
            </w:tcBorders>
            <w:shd w:val="clear" w:color="auto" w:fill="auto"/>
            <w:hideMark/>
          </w:tcPr>
          <w:p w14:paraId="400FF082" w14:textId="77777777" w:rsidR="00DD02FC" w:rsidRPr="00FE0A8D" w:rsidRDefault="00DD02FC" w:rsidP="00DD02FC">
            <w:pPr>
              <w:spacing w:before="120" w:after="120" w:line="240" w:lineRule="auto"/>
              <w:rPr>
                <w:rFonts w:ascii="Tahoma" w:eastAsia="Times New Roman" w:hAnsi="Tahoma" w:cs="Tahoma"/>
                <w:color w:val="333F48"/>
                <w:sz w:val="18"/>
                <w:szCs w:val="18"/>
                <w:lang w:eastAsia="en-GB"/>
              </w:rPr>
            </w:pPr>
            <w:r w:rsidRPr="00FE0A8D">
              <w:rPr>
                <w:rFonts w:ascii="Tahoma" w:eastAsia="Times New Roman" w:hAnsi="Tahoma" w:cs="Tahoma"/>
                <w:color w:val="333F48"/>
                <w:sz w:val="18"/>
                <w:szCs w:val="18"/>
                <w:lang w:eastAsia="en-GB"/>
              </w:rPr>
              <w:t> </w:t>
            </w:r>
          </w:p>
        </w:tc>
      </w:tr>
    </w:tbl>
    <w:p w14:paraId="640B643E" w14:textId="77777777" w:rsidR="00FE0A8D" w:rsidRPr="00DA3488" w:rsidRDefault="00FE0A8D">
      <w:pPr>
        <w:rPr>
          <w:rFonts w:ascii="Tahoma" w:hAnsi="Tahoma" w:cs="Tahoma"/>
          <w:sz w:val="20"/>
        </w:rPr>
      </w:pPr>
    </w:p>
    <w:sectPr w:rsidR="00FE0A8D" w:rsidRPr="00DA3488" w:rsidSect="00FE0A8D">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AFB7A" w14:textId="77777777" w:rsidR="0079415C" w:rsidRDefault="0079415C" w:rsidP="00571CD6">
      <w:pPr>
        <w:spacing w:after="0" w:line="240" w:lineRule="auto"/>
      </w:pPr>
      <w:r>
        <w:separator/>
      </w:r>
    </w:p>
  </w:endnote>
  <w:endnote w:type="continuationSeparator" w:id="0">
    <w:p w14:paraId="6DD97324" w14:textId="77777777" w:rsidR="0079415C" w:rsidRDefault="0079415C" w:rsidP="00571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raphit">
    <w:altName w:val="Cambria"/>
    <w:panose1 w:val="020B0503010203020203"/>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23D8D" w14:textId="6268D519" w:rsidR="00CC41B8" w:rsidRPr="00CC41B8" w:rsidRDefault="00CC41B8">
    <w:pPr>
      <w:pStyle w:val="Footer"/>
      <w:rPr>
        <w:color w:val="A09373"/>
      </w:rPr>
    </w:pPr>
    <w:r>
      <w:rPr>
        <w:noProof/>
      </w:rPr>
      <w:drawing>
        <wp:anchor distT="0" distB="0" distL="114300" distR="114300" simplePos="0" relativeHeight="251658240" behindDoc="1" locked="0" layoutInCell="1" allowOverlap="1" wp14:anchorId="6AC40C20" wp14:editId="2197ABC6">
          <wp:simplePos x="0" y="0"/>
          <wp:positionH relativeFrom="column">
            <wp:posOffset>-133350</wp:posOffset>
          </wp:positionH>
          <wp:positionV relativeFrom="paragraph">
            <wp:posOffset>-272415</wp:posOffset>
          </wp:positionV>
          <wp:extent cx="965713" cy="542925"/>
          <wp:effectExtent l="0" t="0" r="6350" b="0"/>
          <wp:wrapTight wrapText="bothSides">
            <wp:wrapPolygon edited="0">
              <wp:start x="0" y="0"/>
              <wp:lineTo x="0" y="20463"/>
              <wp:lineTo x="21316" y="20463"/>
              <wp:lineTo x="21316" y="0"/>
              <wp:lineTo x="0" y="0"/>
            </wp:wrapPolygon>
          </wp:wrapTight>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FRP-Logo-2019-RGB-Red.jpg"/>
                  <pic:cNvPicPr/>
                </pic:nvPicPr>
                <pic:blipFill>
                  <a:blip r:embed="rId1">
                    <a:extLst>
                      <a:ext uri="{28A0092B-C50C-407E-A947-70E740481C1C}">
                        <a14:useLocalDpi xmlns:a14="http://schemas.microsoft.com/office/drawing/2010/main" val="0"/>
                      </a:ext>
                    </a:extLst>
                  </a:blip>
                  <a:stretch>
                    <a:fillRect/>
                  </a:stretch>
                </pic:blipFill>
                <pic:spPr>
                  <a:xfrm>
                    <a:off x="0" y="0"/>
                    <a:ext cx="965713" cy="542925"/>
                  </a:xfrm>
                  <a:prstGeom prst="rect">
                    <a:avLst/>
                  </a:prstGeom>
                </pic:spPr>
              </pic:pic>
            </a:graphicData>
          </a:graphic>
          <wp14:sizeRelH relativeFrom="page">
            <wp14:pctWidth>0</wp14:pctWidth>
          </wp14:sizeRelH>
          <wp14:sizeRelV relativeFrom="page">
            <wp14:pctHeight>0</wp14:pctHeight>
          </wp14:sizeRelV>
        </wp:anchor>
      </w:drawing>
    </w:r>
    <w:r w:rsidRPr="00CC41B8">
      <w:rPr>
        <w:color w:val="A09373"/>
      </w:rPr>
      <w:ptab w:relativeTo="margin" w:alignment="center" w:leader="none"/>
    </w:r>
    <w:r w:rsidRPr="00CC41B8">
      <w:rPr>
        <w:color w:val="A09373"/>
      </w:rPr>
      <w:ptab w:relativeTo="margin" w:alignment="right" w:leader="none"/>
    </w:r>
    <w:r w:rsidRPr="00CC41B8">
      <w:rPr>
        <w:color w:val="A09373"/>
      </w:rPr>
      <w:t>frpadvisory.com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50E91" w14:textId="77777777" w:rsidR="0079415C" w:rsidRDefault="0079415C" w:rsidP="00571CD6">
      <w:pPr>
        <w:spacing w:after="0" w:line="240" w:lineRule="auto"/>
      </w:pPr>
      <w:r>
        <w:separator/>
      </w:r>
    </w:p>
  </w:footnote>
  <w:footnote w:type="continuationSeparator" w:id="0">
    <w:p w14:paraId="430E1308" w14:textId="77777777" w:rsidR="0079415C" w:rsidRDefault="0079415C" w:rsidP="00571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BA8FC" w14:textId="4E1D8248" w:rsidR="00321EF3" w:rsidRDefault="00321EF3">
    <w:pPr>
      <w:pStyle w:val="Header"/>
    </w:pPr>
  </w:p>
  <w:p w14:paraId="5D1BE38A" w14:textId="77777777" w:rsidR="00321EF3" w:rsidRDefault="00321E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8D"/>
    <w:rsid w:val="00000F2B"/>
    <w:rsid w:val="00020062"/>
    <w:rsid w:val="0010078D"/>
    <w:rsid w:val="001C05F8"/>
    <w:rsid w:val="00321EF3"/>
    <w:rsid w:val="00427B34"/>
    <w:rsid w:val="004857F3"/>
    <w:rsid w:val="004F41F7"/>
    <w:rsid w:val="00571CD6"/>
    <w:rsid w:val="00632553"/>
    <w:rsid w:val="00650FB4"/>
    <w:rsid w:val="006A579E"/>
    <w:rsid w:val="007251E2"/>
    <w:rsid w:val="0079415C"/>
    <w:rsid w:val="0084094C"/>
    <w:rsid w:val="008D1B78"/>
    <w:rsid w:val="00927640"/>
    <w:rsid w:val="00A13C4B"/>
    <w:rsid w:val="00AA5C41"/>
    <w:rsid w:val="00B17582"/>
    <w:rsid w:val="00B60687"/>
    <w:rsid w:val="00C11389"/>
    <w:rsid w:val="00C70BDF"/>
    <w:rsid w:val="00C86D8D"/>
    <w:rsid w:val="00CC41B8"/>
    <w:rsid w:val="00D41C80"/>
    <w:rsid w:val="00DA3488"/>
    <w:rsid w:val="00DD02FC"/>
    <w:rsid w:val="00F64660"/>
    <w:rsid w:val="00F77B5D"/>
    <w:rsid w:val="00FE0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7B140"/>
  <w15:chartTrackingRefBased/>
  <w15:docId w15:val="{1AB5B6BF-BE0E-4D04-953F-D83DB1C6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C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CD6"/>
  </w:style>
  <w:style w:type="paragraph" w:styleId="Footer">
    <w:name w:val="footer"/>
    <w:basedOn w:val="Normal"/>
    <w:link w:val="FooterChar"/>
    <w:uiPriority w:val="99"/>
    <w:unhideWhenUsed/>
    <w:rsid w:val="00571C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CD6"/>
  </w:style>
  <w:style w:type="paragraph" w:styleId="NoSpacing">
    <w:name w:val="No Spacing"/>
    <w:uiPriority w:val="1"/>
    <w:qFormat/>
    <w:rsid w:val="00571C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83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FRP theme 2019">
  <a:themeElements>
    <a:clrScheme name="FRP">
      <a:dk1>
        <a:srgbClr val="333F48"/>
      </a:dk1>
      <a:lt1>
        <a:srgbClr val="FFFFFF"/>
      </a:lt1>
      <a:dk2>
        <a:srgbClr val="333F48"/>
      </a:dk2>
      <a:lt2>
        <a:srgbClr val="FFFFFF"/>
      </a:lt2>
      <a:accent1>
        <a:srgbClr val="333F48"/>
      </a:accent1>
      <a:accent2>
        <a:srgbClr val="676978"/>
      </a:accent2>
      <a:accent3>
        <a:srgbClr val="718DA7"/>
      </a:accent3>
      <a:accent4>
        <a:srgbClr val="A09373"/>
      </a:accent4>
      <a:accent5>
        <a:srgbClr val="33D9B2"/>
      </a:accent5>
      <a:accent6>
        <a:srgbClr val="FFC500"/>
      </a:accent6>
      <a:hlink>
        <a:srgbClr val="33D9B2"/>
      </a:hlink>
      <a:folHlink>
        <a:srgbClr val="33D9B2"/>
      </a:folHlink>
    </a:clrScheme>
    <a:fontScheme name="FRP Fonts">
      <a:majorFont>
        <a:latin typeface="Graphit"/>
        <a:ea typeface="Tahoma"/>
        <a:cs typeface="Tahoma"/>
      </a:majorFont>
      <a:minorFont>
        <a:latin typeface="Tahoma"/>
        <a:ea typeface="Tahoma"/>
        <a:cs typeface="Taho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gray">
        <a:solidFill>
          <a:schemeClr val="accent4">
            <a:lumMod val="20000"/>
            <a:lumOff val="80000"/>
          </a:schemeClr>
        </a:solidFill>
        <a:ln w="6350">
          <a:solidFill>
            <a:schemeClr val="bg1">
              <a:lumMod val="75000"/>
            </a:schemeClr>
          </a:solidFill>
          <a:prstDash val="solid"/>
        </a:ln>
      </a:spPr>
      <a:bodyPr wrap="square" lIns="36000" tIns="36000" rIns="36000" bIns="36000" rtlCol="0" anchor="ctr">
        <a:spAutoFit/>
      </a:bodyPr>
      <a:lstStyle>
        <a:defPPr marL="171450" indent="-171450" algn="l" fontAlgn="base">
          <a:buClr>
            <a:schemeClr val="accent5"/>
          </a:buClr>
          <a:buFont typeface="Wingdings" panose="05000000000000000000" pitchFamily="2" charset="2"/>
          <a:buChar char="§"/>
          <a:defRPr sz="900" kern="0" dirty="0"/>
        </a:defPPr>
      </a:lstStyle>
    </a:txDef>
  </a:objectDefaults>
  <a:extraClrSchemeLst/>
  <a:extLst>
    <a:ext uri="{05A4C25C-085E-4340-85A3-A5531E510DB2}">
      <thm15:themeFamily xmlns:thm15="http://schemas.microsoft.com/office/thememl/2012/main" name="New FRP Template 281019" id="{CC1063D3-D19C-42FB-BFD3-D483AB5277FB}" vid="{17760D45-914C-44A0-B160-6089AE0802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72D4B58CAE254C88526BBF15D8B45F" ma:contentTypeVersion="7" ma:contentTypeDescription="Create a new document." ma:contentTypeScope="" ma:versionID="b165e965a9fa0ea9651a9b48e571b1c5">
  <xsd:schema xmlns:xsd="http://www.w3.org/2001/XMLSchema" xmlns:xs="http://www.w3.org/2001/XMLSchema" xmlns:p="http://schemas.microsoft.com/office/2006/metadata/properties" xmlns:ns3="eda07e62-f056-4706-ab40-64aaf2c7949b" xmlns:ns4="455e1e66-59aa-4c1f-b2e0-19d837f0bc98" targetNamespace="http://schemas.microsoft.com/office/2006/metadata/properties" ma:root="true" ma:fieldsID="f4cee602226563a8ac3d2525a15bc284" ns3:_="" ns4:_="">
    <xsd:import namespace="eda07e62-f056-4706-ab40-64aaf2c7949b"/>
    <xsd:import namespace="455e1e66-59aa-4c1f-b2e0-19d837f0bc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07e62-f056-4706-ab40-64aaf2c79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5e1e66-59aa-4c1f-b2e0-19d837f0bc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E6A32F-61E9-4625-93DD-066DEF6C3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07e62-f056-4706-ab40-64aaf2c7949b"/>
    <ds:schemaRef ds:uri="455e1e66-59aa-4c1f-b2e0-19d837f0b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2D5120-393C-440A-914E-B354079BFF48}">
  <ds:schemaRefs>
    <ds:schemaRef ds:uri="http://schemas.microsoft.com/sharepoint/v3/contenttype/forms"/>
  </ds:schemaRefs>
</ds:datastoreItem>
</file>

<file path=customXml/itemProps3.xml><?xml version="1.0" encoding="utf-8"?>
<ds:datastoreItem xmlns:ds="http://schemas.openxmlformats.org/officeDocument/2006/customXml" ds:itemID="{207F8113-792F-4F14-8FAA-D7815CAD8B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Norman</dc:creator>
  <cp:keywords/>
  <dc:description/>
  <cp:lastModifiedBy>Jack Stanley</cp:lastModifiedBy>
  <cp:revision>3</cp:revision>
  <dcterms:created xsi:type="dcterms:W3CDTF">2021-07-28T13:31:00Z</dcterms:created>
  <dcterms:modified xsi:type="dcterms:W3CDTF">2021-07-28T13:31:00Z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0x010100D572D4B58CAE254C88526BBF15D8B45F</vt:lpwstr>
  </property>
</Properties>
</file>